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ATAS/365/2017 vom 9. Mai 2017</w:t>
      </w:r>
    </w:p>
    <w:p>
      <w:r>
        <w:t>GE Cour de justice, 2017-05-09, FR</w:t>
      </w:r>
    </w:p>
    <w:p>
      <w:r>
        <w:rPr>
          <w:b/>
        </w:rPr>
        <w:t xml:space="preserve">Quelle: </w:t>
      </w:r>
      <w:r>
        <w:t>https://mcp.opencaselaw.ch/entscheid/ge_gerichte_ATAS_365_2017</w:t>
      </w:r>
    </w:p>
    <w:p>
      <w:r>
        <w:t>FR: GE_GERICHTE ATAS/365/2017 du 9 mai 2017</w:t>
      </w:r>
    </w:p>
    <w:p>
      <w:r>
        <w:t>IT: GE_GERICHTE ATAS/365/2017 del 9 maggio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Interjeté dans la forme et le délai prévus par la loi, le recours est recevable, en vertu des art. 56ss LPGA et 89B LPA.</w:t>
      </w:r>
    </w:p>
    <w:p>
      <w:r>
        <w:rPr>
          <w:b/>
        </w:rPr>
        <w:t>E. 4</w:t>
      </w:r>
    </w:p>
    <w:p>
      <w:r>
        <w:t>Est litigieux le droit de la recourante à l'assistance juridique à partir du 1er décembre 2016, dans le cadre de la procédure d’audition faisant suite au projet du 8 novembre 2016 par lequel l’intimé lui refuse toute prestations.</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w:t>
      </w:r>
    </w:p>
    <w:p>
      <w:r>
        <w:t>A/210/2017 - 10/16 -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 LOCAS - J 4 18 - et art. 19 al. 1 et 2 du ROCAS).</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98 V 115 consid. 3a; cf. aussi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w:t>
      </w:r>
    </w:p>
    <w:p>
      <w:r>
        <w:t>A/210/2017 - 11/16 - Ces conditions d'octroi de l'assistance judiciaire sont applicables à l'octroi de l'assistance gratuite d'un conseil juridique dans la procédure d'opposition (Revue de l'avocat 2005 n. 3 p. 123), respectivement de décision.</w:t>
      </w:r>
    </w:p>
    <w:p>
      <w:r>
        <w:rPr>
          <w:b/>
        </w:rPr>
        <w:t>E. 7</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op. cit., consid. 3.3).</w:t>
      </w:r>
    </w:p>
    <w:p>
      <w:r>
        <w:rPr>
          <w:b/>
        </w:rPr>
        <w:t>E. 8</w:t>
      </w:r>
    </w:p>
    <w:p>
      <w:r>
        <w:t>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lorsqu’à la relative difficulté du cas s'ajoute la complexité de l'état de fait ou des questions de droit, à laquelle le requérant n'est pas apte à faire face seul (cf. ATF 130 I 180 consid. 2.2 et les références; arrêt du Tribunal fédéral 9C_105/2007 du 13 novembre 2007 consid. 3.1).</w:t>
      </w:r>
    </w:p>
    <w:p>
      <w:r>
        <w:t>A/210/2017 - 12/16 - b. En l'espèce, la recourante requiert l'assistance juridique dans le cadre du projet de refus de rente du 8 novembre 2016 faisant suite à une expertise médicale neurologique le 26 avril 2016 avec consilium ORL et à une enquête ménagère le</w:t>
      </w:r>
    </w:p>
    <w:p>
      <w:r>
        <w:rPr>
          <w:b/>
        </w:rPr>
        <w:t>E. 13</w:t>
      </w:r>
    </w:p>
    <w:p>
      <w:r>
        <w:t>octobre 2016. Elle n’a pour l’heure pas pris position sur ledit projet, de sorte qu’il n’est pas possible de savoir si elle le conteste ou non, respectivement ce qu’elle conteste. Quoi qu’il en soit, les questions en jeux sont l’existence d’une capacité de travail dans une activité adaptée, respectivement son taux, de même que le taux de l’empêchement dans les travaux habituels, respectivement l’exigibilité du mari de la recourante alors qu’il souffre de plusieurs problèmes de santé importants. Au vu de la jurisprudence susmentionnée, la nature du litige concernant le droit éventuel à une rente d’invalidité ne permet pas d’admettre que la situation juridique de la recourante est susceptible d’être touchée gravement, de sorte que l’assistance juridique n’apparaît pas d’emblée comme nécessaire. Dès lors, il convient d'examiner si, concrètement, la détermination de la capacité de gain raisonnablement exigible de la recourante après expertise et enquête ménagère pose d'un point de vue objectif des difficultés telles que le recours à un avocat se justifie. Selon les informations données le 30 octobre 2015 par l’assistant social, ce dernier étudie un projet de demande de curatelle, ce qui démontre que la recourante n’est pas en mesure de s’orienter seule dans la procédure mais a besoin d’une assistance pour gérer ses intérêts. Contrairement à ce que soutient l’intimé, l’état de fait est complexe sur le plan médical puisque la recourante souffre des séquelles d’une tumeur excisée du nerf acoustique ayant entraîné une paralysie faciale gauche et une surdité gauche. De plus, ce schwannome a provoqué une hydrocéphalie nécessitant la poste d’un drain ventriculo-péritonéal avec difficultés de réglage qui génèrent un déséquilibre constant, des vertiges rotatoires, des céphalées et de la fatigue. Elle souffre également de difficultés d’orientation spatiale et de troubles cognitifs en lien avec le déficit vestibulaire, ainsi que d’un état dépressif et anxieux. La complexité de la situation médicale a au demeurant poussé l’intimé à requérir une expertise neurologique. Selon l’expert, l’état de santé de la recourante est influencé tant par ces séquelles que par un contexte socio-professionnel défavorable et il est difficile d’évaluer précisément la part respective de ces facteurs. Bien que le Dr G______ retienne une capacité de travail théorique de 70 à 75% au moins dans une activité adaptée depuis le 13 mai 2016, mais vraisemblablement depuis l’ajout d’un anti- siphon en février 2014, le Prof. I______ considère que la seule atteinte vestibulaire entraîne un important handicap et qu’il y a également lieu de tenir compte de la perte unilatérale de l’audition, de la paralyse faciale et des troubles consécutifs à l’hydrocéphalie nécessitant un drainage. Par conséquent, sur le plan médical, s’intriquent des troubles neurologiques, de la sphère ORL et d’ordre psychique. Sur le plan juridique se posent les questions de la valeur probante tant de l’expertise neurologique que du rapport d’enquête ménagère et de savoir si des mesures d’instruction complémentaires sont nécessaires telles notamment une expertise</w:t>
      </w:r>
    </w:p>
    <w:p>
      <w:r>
        <w:t>A/210/2017 - 13/16 - pluridisciplinaire neurologique, ORL et psychiatrique. En l’occurrence, au regard de la difficulté du cas, on ne se trouve pas en présence de circonstances exceptionnelles rendant objectivement nécessaire l'assistance d'un avocat durant la procédure administrative. En effet, la recourante peut bénéficier de l'assistance des Drs F______ et E______ ainsi que du Prof. I______ pour contester les conclusions de l’expert et requérir des mesures d’instruction complémentaire sur le plan médical, ainsi que celle de son assistant social s’agissant du rapport d’enquête ménagère. D'autre part, à ce stade de la procédure, le cas ne présente pas de questions de droit spécifique. En revanche, contrairement à ce que soutient l’intimé, les éventuelles oppositions de la recourante au projet de décision ne sont pas dénuées de chances de succès. En effet, le rapport d’expertise du Dr G______ n’intègre pas dans ses conclusions les constats et explications du Prof. I______, qu’il a pourtant requis. Notamment, il ne mentionne pas les oublis de la recourante depuis 2013 et n’évalue pas leur incidence sur sa capacité de travail. De plus, il ne tient pas compte du rapport du Dr H______ pourtant antérieur à l’expertise, ni n’a demandé aux radiologues de vérifier l’intégrité de la capsule optique ainsi que l’avait requis le Prof. I______. Par conséquent, il est douteux que son rapport d’expertise ait une valeur probante. Il en va de même du rapport de l’enquête ménagère qui retient un empêchement de 26% dans les travaux habituels alors qu’il est en réalité de 27,5% (10,5 + 8 + 3 + 6) si l’on calcule les empêchements et l’exigibilité en fonction des pourcentages des diverses activités. De même, si l’on additionne les pourcentages des diverses activités telles qu’évaluées par l’intimé, le pourcentage total est de 105% (5% + 35% + 20% + 10% + 15% + 20%). S’agissant de l’exigibilité du mari qui souffre d’importantes atteintes à la santé, l’enquêtrice ne précise pas les critères qui lui permettent de retenir les exigibilités mentionnées dans son rapport. Ces diverses erreurs et lacunes permettent également de douter de la valeur probante du rapport d’enquête ménagère. Enfin, dans le calcul du degré d’invalidité, les pourcentages de l’activité professionnelle et celui des travaux habituels semblent erronés, dès lors que selon les questionnaires des employeurs, la recourante exerçait avant son incapacité de travail une activité professionnelle à raison de 21% en tant que femme de ménage (9 heures : 42 heures x 100) et de 35% en tant que concierge d’immeuble (14 heures 45 : 42 heures x 100), soit un total de 55%, de sorte que la part des travaux habituels est de 45%. Au surplus, les parties s’accordent sur l’indigence de la recourante. Étant donné qu’une des conditions cumulatives requises pour l’octroi de l’assistance juridique n’est pas réalisée, son refus doit être confirmé. 9. La recourante invoque également une violation du principe de l’égalité de traitement au sens de l’art. 8 al. 2 Cst. dans le cadre de la nouvelle pratique des tribunaux consistant à trancher les recours sans prendre en compte les rapports médicaux postérieurs à la date de la décision litigieuse.</w:t>
      </w:r>
    </w:p>
    <w:p>
      <w:r>
        <w:t>A/210/2017 - 14/16 - a.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(ATF 142 V 316 consid. 6.1.1; 135 I 49 consid. 4.1).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et les références citées; voir également ATF 124 II 409 consid. 7).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142 V 316 consid. 6.1.2; 138 I 205 consid. 5.5 et les références). b. De jurisprudence constante, le juge apprécie en règle générale la légalité des décisions entreprises d'après l'état de fait existant au moment où la décision litigieuse a été rendue (ATF 131 V 242 consid. 2.;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1er mars 2010 consid. 3.2). c. En l’espèce, l’intimé est tenu d’instruire la demande de prestations en vertu du principe inquisitoire de l’art. 43 al. 1 LPGA, selon lequel les faits pertinents de la cause doivent être constatés d'office par l'autorité. S’il conteste en justice la décision de l’OAI, l’assuré peut produire dans la procédure contentieuse tout rapport médical destiné à prouver un fait survenu antérieurement à la décision litigieuse. Par conséquent, contrairement à ce que soutient la recourante, il n’existe aucune pratique consistant à ne pas prendre en compte les rapports médicaux</w:t>
      </w:r>
    </w:p>
    <w:p>
      <w:r>
        <w:t>A/210/2017 - 15/16 - postérieurs à la décision de l’OAI servant à établir la situation médicale antérieure à la date de ladite décision. Les références jurisprudentielles que cite la recourante ne concernent pas le cas de la première demande, mais celles de la nouvelle demande à la suite d’un refus de rente ou une procédure de révision, soit des situations tout à fait différentes de celle du recourant. En effet, le principe inquisitoire, selon lequel les faits pertinents de la cause doivent être constatés d'office par l'autorité (cf. art. 43 al. 1 LPGA) ne s'applique pas à la procédure de l'art. 87 al. 3 RAI (ATF 130 V 64 consid. 5.2.5).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arrêt du Tribunal fédéral 9C_789/2012 du 27 juillet 2013 consid. 2.3). Étant donné qu’en cas de première demande, la recourante peut produire en procédure contentieuse tout rapport médical postérieur à la décision litigieuse pour autant qu’il serve à établir la situation médicale à la date de ladite décision, le grief de violation du principe de non-discrimination n’a pas à être examiné. 10. Au vu de ce qui précède, le recours sera rejeté.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w:t>
      </w:r>
    </w:p>
    <w:p>
      <w:r>
        <w:t>A/210/2017 - 16/16 -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