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ATAS/365/2012 vom 21. März 2012</w:t>
      </w:r>
    </w:p>
    <w:p>
      <w:r>
        <w:t>GE Cour de justice, 2012-03-21, FR</w:t>
      </w:r>
    </w:p>
    <w:p>
      <w:r>
        <w:rPr>
          <w:b/>
        </w:rPr>
        <w:t xml:space="preserve">Quelle: </w:t>
      </w:r>
      <w:r>
        <w:t>https://mcp.opencaselaw.ch/entscheid/ge_gerichte_ATAS_365_2012</w:t>
      </w:r>
    </w:p>
    <w:p>
      <w:r>
        <w:t>FR: GE_GERICHTE ATAS/365/2012 du 21 mars 2012</w:t>
      </w:r>
    </w:p>
    <w:p>
      <w:r>
        <w:t>IT: GE_GERICHTE ATAS/365/2012 del 21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 ; ATF 129 V 4, consid. 1.2 ; ATF 127 V 467, consid. 1 ; ATF 126 V 136, consid. 4b et les références citées). S'agissant des modifications de la LAI du 6 octobre 2006 (5ème révision de l'AI), entrées en vigueur le 1er janvier 2008, elles sont à prendre en considération pour déterminer les prestations dès cette date, eu égard au principe rappelé ci-dessus. Cela étant, cette novelle n'a pas amené de modifications substantielles en matière d'évaluation de l'invalidité (Message concernant la modification de la loi fédérale sur l'assurance-invalidité du 22 juin 2005, FF 2005 4215, p. 4322).</w:t>
      </w:r>
    </w:p>
    <w:p>
      <w:r>
        <w:rPr>
          <w:b/>
        </w:rPr>
        <w:t>E. 3</w:t>
      </w:r>
    </w:p>
    <w:p>
      <w:r>
        <w:t>Interjeté dans les forme et délai prévus par la loi, le recours est recevable (art. 56ss LPGA).</w:t>
      </w:r>
    </w:p>
    <w:p>
      <w:r>
        <w:t>A/873/2011 - 13/20 -</w:t>
      </w:r>
    </w:p>
    <w:p>
      <w:r>
        <w:rPr>
          <w:b/>
        </w:rPr>
        <w:t>E. 4</w:t>
      </w:r>
    </w:p>
    <w:p>
      <w:r>
        <w:t>Le litige porte sur le droit du recourant à des prestations de l’assurance-invalidité, plus particulièrement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mai 2003, consid. 2.2).</w:t>
      </w:r>
    </w:p>
    <w:p>
      <w:r>
        <w:t>A/873/2011 - 14/20 -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w:t>
      </w:r>
    </w:p>
    <w:p>
      <w:r>
        <w:rPr>
          <w:b/>
        </w:rPr>
        <w:t>E. 7</w:t>
      </w:r>
    </w:p>
    <w:p>
      <w:r>
        <w:t>a) Chez les assurés actifs, le degré d’invalidité doit être déterminé sur la base d’une comparaison des revenus. Pour cela, le revenu du travail que l’invalide pourrait obtenir en exerçant l’activité qu’on peut raisonnablement attendre de lui, après</w:t>
      </w:r>
    </w:p>
    <w:p>
      <w:r>
        <w:t>A/873/2011 - 15/20 -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w:t>
      </w:r>
    </w:p>
    <w:p>
      <w:r>
        <w:t>A/873/2011 - 16/20 -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consid. 5b).</w:t>
      </w:r>
    </w:p>
    <w:p>
      <w:r>
        <w:rPr>
          <w:b/>
        </w:rPr>
        <w:t>E. 8</w:t>
      </w:r>
    </w:p>
    <w:p>
      <w:r>
        <w:t>Il convient en premier lieu d'examiner la valeur probante du rapport d'expertise du Dr U_______. Ce spécialiste a procédé à une étude approfondie du dossier médical, examinant en particulier l'ensemble des documents d'imagerie à sa disposition, et il a relaté en détail l'anamnèse du recourant. En outre, ses diagnostics sont clairs et se fondent sur un status clinique complété par de nouvelles radiographies. Si le SMR a dû interpeller l'expert afin que celui-ci précise la date à laquelle il estimait que la reprise d'une activité adaptée était possible, ses conclusions n'en sont pas moins convaincantes et motivées. Partant, l'expertise réalisée par le Dr U_______ remplit toutes les exigences formelles dégagées par la jurisprudence pour se voir reconnaître une pleine valeur probante. Les critiques du recourant à l'encontre du rapport du Dr U_______ ne résistent pas à l'examen. S'agissant du fait que l’expert n’a pas daté le moment auquel une activité adaptée était exigible, cette omission a été réparée par la suite et ne suffit donc pas à nier la valeur probante de cette expertise. Le grief selon lequel l’expert a fixé cette date de manière purement théorique est également erroné. Il a en effet précisé lors de l’audience qu’il avait retenu le mois de décembre 2007 en fonction de l’ensemble du dossier, soit en tenant également compte des éléments concrets et non d'une manière exclusivement théorique. On notera d’ailleurs que cette appréciation paraît très favorable au recourant, dans la mesure où le Dr P________ admettait en janvier 2007 déjà qu’une réadaptation pouvait être tentée et que le Dr S________ relevait dans son avis du 8 janvier 2007 que la période de convalescence est généralement de trois à quatre mois après une acromioplastie. On ne peut non plus suivre le recourant lorsqu’il affirme que l’expert s’est borné à nier les conclusions du Dr P________. En effet, le médecin traitant du recourant n’a pas exclu la reprise d’une activité, comme cela ressort tant de son rapport d’octobre 2006, dans lequel il a annoncé qu’une reprise professionnelle pouvait être envisagée dans un proche avenir, que de ceux de décembre 2006 et janvier 2007. Ainsi, les</w:t>
      </w:r>
    </w:p>
    <w:p>
      <w:r>
        <w:t>A/873/2011 - 17/20 - avis du médecin traitant et du Dr U_______ sur l’exigibilité d’une activité professionnelle sont convergents. Par ailleurs, contrairement à ce que soutient le recourant, les conclusions de l’expert prennent bien en considération l’état de l’épaule gauche du recourant puisqu’elles admettent des limitations fonctionnelles liées à la mobilité réduite de cette articulation. Il a ainsi tenu compte de l’atteinte du recourant sur sa capacité de travail. S’agissant de l'absence de répercussions des affections au dos et au genou sur la capacité de travail du recourant, les arguments de l’expert, aux termes desquels celles-ci n’ont pas d’effet incapacitant dès lors que le recourant a continué d’exercer une activité lucrative après leur apparition, sont également convaincants. Enfin, le recourant se méprend en alléguant que l’expert a admis une diminution de rendement. Lors de son audition par la Cour de céans, le Dr U_______ a en effet très clairement exclu une telle diminution dans une activité légère du point de vue médical. Cet expert n’a pas non plus préconisé de mesures de réadaptation et a d’ailleurs donné plusieurs exemples d’activités adaptées aux limitations fonctionnelles du recourant. Quant au fait que le Dr U_______ ait livré des impressions subjectives s’agissant de l’investissement du recourant dans sa rééducation, cela ne suffit pas à remettre en cause ses conclusions dès lors que celles-ci sont étayées par des arguments cliniques. Partant, la Cour de céans ne s’écartera pas des conclusions du Dr U_______ et admettra que le recourant disposait d’une capacité de travail totale dans une activité adaptée dès le mois de décembre 2007.</w:t>
      </w:r>
    </w:p>
    <w:p>
      <w:r>
        <w:rPr>
          <w:b/>
        </w:rPr>
        <w:t>E. 9</w:t>
      </w:r>
    </w:p>
    <w:p>
      <w:r>
        <w:t>Le recourant fait grief à l’intimé d’avoir procédé au calcul de son degré d’invalidité de manière arbitraire, puisque ce degré a varié de 13.9 % à 46 %. Ce moyen tombe cependant à faux. Il convient en effet de souligner que si le premier projet de décision du 23 septembre 2010 ne détaillait pas le calcul du taux de 46 % retenu, ce taux est identique à celui de 45.7 % qui ressort du calcul de l’intimé du 29 mai 2008, et qui a été arrondi au chiffre supérieur conformément à la jurisprudence (ATF 130 V 121, consid. 3.2). Le recourant a eu accès à ce calcul, qui figure dans le dossier qui lui a été remis à sa demande par l'intimé. Il est vrai que ce calcul ne repose pas sur une appréciation fiable de la capacité de travail résiduelle du recourant et qu'il est, partant, erroné. En revanche, le taux d'invalidité de 13.9 % dès décembre 2007 se fonde sur la capacité de travail totale admise par l’expert dans une activité adaptée et les modalités de calcul sont exposées en détail tant dans le projet de l’intimé du 10 novembre 2010 que dans la décision dont est recours. On ne peut ainsi le qualifier d'arbitraire, contrairement à ce qu'affirme le recourant. Il reste cependant à examiner si ce calcul est conforme aux dispositions légales et à la jurisprudence citées. En cas d'allocation d'une rente dégressive ou temporaire, la date de la modification du droit (diminution ou suppression de la rente) doit être fixée conformément à l'art. 88a al. 1 du règlement sur l’assurance-invalidité (RAI ; RS 831.201), soit trois mois après l’amélioration constatée (ATF 125 V 413, consid. 2d). En l'espèce, la capacité de gain s'est améliorée en décembre 2007 et le</w:t>
      </w:r>
    </w:p>
    <w:p>
      <w:r>
        <w:t>A/873/2011 - 18/20 - droit à la rente doit dès lors être réexaminé en mars 2008. S’agissant du revenu sans invalidité, l’intimé s’est correctement référé au revenu mensuel de 4'751 fr. que le recourant aurait perçu en 2006 selon les indications de l’employeur, multiplié par</w:t>
      </w:r>
    </w:p>
    <w:p>
      <w:r>
        <w:rPr>
          <w:b/>
        </w:rPr>
        <w:t>E. 13</w:t>
      </w:r>
    </w:p>
    <w:p>
      <w:r>
        <w:t>mensualités, soit 61'736 fr. Il y a lieu d’indexer ce revenu jusqu’en 2008 en fonction de l’Indice suisse des salaires, ce qui le porte à 65'246 fr. Pour le revenu sans invalidité, on se réfèrera au revenu tiré d’une activité simple et répétitive selon l’Enquête suisse sur la structure des salaires 2008, soit 4'806 fr. par mois pour 40 heures hebdomadaires (ESS 2008, TA 1 ligne Total). Annualisé et adapté à la durée hebdomadaire moyenne de travail de 41.6 heures en 2008 selon la statistique sur la durée normale de travail de l’Office fédéral de la statistique (DNT), on obtient un revenu d’invalide de 59'979 fr. L’intimé a procédé à une déduction de 10 % sur ce revenu. L'étendue de l'abattement justifié dans un cas concret relève du pouvoir d'appréciation (ATF 132 V 393, consid. 3.3), et le juge des assurances sociales ne peut substituer son appréciation à celle de l’administration sans motifs pertinents (ATF 126 V 75, consid. 6). En l’occurrence, l’intimé est resté dans les limites de son pouvoir d’appréciation en procédant à cette réduction. En effet, les limitations fonctionnelles du recourant et son âge ne sont pas tels qu'un abattement plus important s'impose. Partant, la Cour de céans appliquera le même abattement, en fonction duquel le revenu d’invalide est de 53'981 fr. La comparaison des revenus aboutit ainsi à un degré d’invalidité de 17.27 %, qui doit être arrondi à</w:t>
      </w:r>
    </w:p>
    <w:p>
      <w:r>
        <w:rPr>
          <w:b/>
        </w:rPr>
        <w:t>E. 17</w:t>
      </w:r>
    </w:p>
    <w:p>
      <w:r>
        <w:t>%. Si ce taux est légèrement supérieur à celui que retient l’intimé, il reste néanmoins en-deçà du degré d'invalidité ouvrant le droit à une rente. Il est également insuffisant pour obtenir des mesures de reclassement, pour lesquelles la jurisprudence a fixé un seuil minimal de diminution de la capacité de gain de l’ordre de 20 % (ATF 124 V 108, consid. 2b ; ATF I 665/99 du 18 octobre 2000, consid. 4b). S’agissant des mesures de réadaptation auxquelles conclut le recourant, eu égard au caractère relativement anodin de ses limitations fonctionnelles, il y a lieu d’admettre que le marché du travail comprend un éventail suffisamment large d’emplois adaptés et accessibles sans formation spécifique. Le Dr U_______ a par ailleurs donné des exemples d’activités compatibles avec l’atteinte du recourant. Une mesure d’observation ou d’orientation professionnelle est dès lors superflue. L'aide au placement octroyée au recourant paraît suffisante pour lui permettre de mettre en valeur sa capacité de travail. 10. Eu égard à ce qui précède, le recours doit être rejeté. La procédure n'est pas gratuite (art. 69 al. 1bis LAI) . Toutefois, le recourant étant au bénéfice de l’assistance judiciaire, il y a lieu de le dispenser du paiement d'un émolument conformément à l’art. 12 al. 1 du règlement sur les frais, émoluments et indemnités en procédure administrative du 30 juillet 1986 (RFPA - E 5 10.03).</w:t>
      </w:r>
    </w:p>
    <w:p>
      <w:r>
        <w:t>A/873/2011 - 19/20 -</w:t>
      </w:r>
    </w:p>
    <w:p>
      <w:r>
        <w:t>A/873/2011 - 20/20 -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