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ATAS/365/2008 vom 27. März 2008</w:t>
      </w:r>
    </w:p>
    <w:p>
      <w:r>
        <w:t>GE Cour de justice, 2008-03-27, FR</w:t>
      </w:r>
    </w:p>
    <w:p>
      <w:r>
        <w:rPr>
          <w:b/>
        </w:rPr>
        <w:t xml:space="preserve">Quelle: </w:t>
      </w:r>
      <w:r>
        <w:t>https://mcp.opencaselaw.ch/entscheid/ge_gerichte_ATAS_365_2008</w:t>
      </w:r>
    </w:p>
    <w:p>
      <w:r>
        <w:t>FR: GE_GERICHTE ATAS/365/2008 du 27 mars 2008</w:t>
      </w:r>
    </w:p>
    <w:p>
      <w:r>
        <w:t>IT: GE_GERICHTE ATAS/365/2008 del 27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Interjeté dans les forme et délai prévus par la loi, le recours est recevable (art. 56 à 60 LPGA).</w:t>
      </w:r>
    </w:p>
    <w:p>
      <w:r>
        <w:rPr>
          <w:b/>
        </w:rPr>
        <w:t>E. 3</w:t>
      </w:r>
    </w:p>
    <w:p>
      <w:r>
        <w:t>Le litige porte sur le point de savoir si le recourant a droit aux prestations de l'assurance-invalidité, en particulier sur la question de savoir si les conditions d'assurance sont remplies.</w:t>
      </w:r>
    </w:p>
    <w:p>
      <w:r>
        <w:t>A/2529/2007 - 4/5 -</w:t>
      </w:r>
    </w:p>
    <w:p>
      <w:r>
        <w:rPr>
          <w:b/>
        </w:rPr>
        <w:t>E. 4</w:t>
      </w:r>
    </w:p>
    <w:p>
      <w:r>
        <w:t>Conformément à l'art. 6 al. 2 LAI, les étrangers ont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En l'occurrence, il ne fait aucun doute que la survenance de l'invalidité est antérieure à l'arrivée de l'assuré en Suisse, ce qu'il ne conteste d'ailleurs pas, pas plus que le Dr O__________. En conséquence, le recours, manifestement infondé, doit être rejeté. C'est en effet à juste titre que l'OCAI, reprenant les termes de sa décision du 10 avril 2001 dont il convient de rappeler qu'elle est entrée en force, a refusé tout droit aux prestations à l'assuré au motif que les conditions d'assurance n'étaient pas remplies.</w:t>
      </w:r>
    </w:p>
    <w:p>
      <w:r>
        <w:t>A/2529/2007 - 5/5 -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