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ATAS/364/2025 vom 20. Mai 2025</w:t>
      </w:r>
    </w:p>
    <w:p>
      <w:r>
        <w:t>GE Cour de justice, 2025-05-20, FR</w:t>
      </w:r>
    </w:p>
    <w:p>
      <w:r>
        <w:rPr>
          <w:b/>
        </w:rPr>
        <w:t xml:space="preserve">Quelle: </w:t>
      </w:r>
      <w:r>
        <w:t>https://mcp.opencaselaw.ch/entscheid/ge_gerichte_ATAS_364_2025</w:t>
      </w:r>
    </w:p>
    <w:p>
      <w:r>
        <w:t>FR: GE_GERICHTE ATAS/364/2025 du 20 mai 2025</w:t>
      </w:r>
    </w:p>
    <w:p>
      <w:r>
        <w:t>IT: GE_GERICHTE ATAS/364/2025 del 20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t>A/1926/2024 - 8/22 - La procédure devant la chambre de céans est régie par les dispositions de la LPGA et de la loi sur la procédure administrative du 12 septembre 1985 (LPA - E 5 10).</w:t>
      </w:r>
    </w:p>
    <w:p>
      <w:r>
        <w:rPr>
          <w:b/>
        </w:rPr>
        <w:t>E. 1.3</w:t>
      </w:r>
    </w:p>
    <w:p>
      <w:r>
        <w:t>Interjeté dans la forme (art. 61 let. b LPGA) et le délai de trente jours (art. 60 al. 1 LPGA ; art. 62 al. 1 let. a LPA) prévus par la loi, le recours est recevable. 2. À titre préalable, le recourant semble invoquer la violation de son droit d'être entendu, qui est consacré à l'art. 29 al. 2 de la Constitution fédérale de la Confédération suisse du 18 avril 1999 (Cst. - RS 101 ; cf. ATF 143 III 65 consid. 5.2), motif pris que la décision litigieuse ne contient aucune motivation à propos du refus de l'octroi de mesures d'ordre professionnel. Ceci étant, le recourant, dans le cadre de la présente procédure, a pu prendre connaissance de la détermination de l'intimé du 12 septembre 2024 sur cette question. Le recourant, représenté par son conseil, a donc pu se rendre compte de la portée de cette décision et a pu s'exprimer en tout connaissance de cause par-devant la chambre de céans qui jouit d'un plein pouvoir d'examen. Ainsi, la prétendue violation du droit d'être entendu a été réparée au cours de la procédure contentieuse. Par conséquent, le grief doit être écarté, sans préjudice pour le recourant (cf. ATF 124 V 180 consid. 4a). Il sera au surplus souligné que ce dernier n'a pas conclu à l'octroi de telles mesures, et comme on le verra plus loin, lors de l'expertise psychiatrique mise en œuvre par l'intimé, il avait déclaré vouloir une rente complète et ne pas être motivé pour une réadaptation professionnelle. 3. Le litige porte sur le droit du recourant à une rente d'invalidité. 4.</w:t>
      </w:r>
    </w:p>
    <w:p>
      <w:r>
        <w:t>4.1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4.2 En l’occurrence, un éventuel droit à une rente d’invalidité naîtrait au plus tôt en août 2023, soit six mois après le dépôt de la demande du 17 février 2023 (cf. art. 29 al. 1 LAI), de sorte que les dispositions légales applicables seront citées dans leur nouvelle teneur.</w:t>
      </w:r>
    </w:p>
    <w:p>
      <w:r>
        <w:t>A/1926/2024 - 9/22 - 5.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6</w:t>
      </w:r>
    </w:p>
    <w:p>
      <w:r>
        <w:t>octobre 2000 (LPGA - RS 830.1) relatives à la loi fédérale sur l’assurance-invalidité du 19 juin 1959 (LAI - RS 831.20). Sa compétence pour juger du cas d’espèce est ainsi établie.</w:t>
      </w:r>
    </w:p>
    <w:p>
      <w:r>
        <w:rPr>
          <w:b/>
        </w:rPr>
        <w:t>E. 6.1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w:t>
      </w:r>
    </w:p>
    <w:p>
      <w:r>
        <w:t>A/1926/2024 - 13/22 -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6.2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w:t>
      </w:r>
    </w:p>
    <w:p>
      <w:r>
        <w:t>A/1926/2024 - 14/22 -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6.3</w:t>
      </w:r>
    </w:p>
    <w:p>
      <w:r>
        <w:t>Selon l’art. 26 RAI, le revenu sans invalidité (art. 16 LPGA) est déterminé en fonction du dernier revenu de l’activité lucrative effectivement réalisé avant la survenance de l’invalidité (al. 1, 1re phrase).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6.4</w:t>
      </w:r>
    </w:p>
    <w:p>
      <w:r>
        <w:t>Si l’assuré ne réalise pas de revenu déterminant, le revenu avec invalidité est déterminé en fonction des valeurs statistiques visées à l’art. 25 al. 3 RAI (art. 26bis al. 2 RAI).</w:t>
      </w:r>
    </w:p>
    <w:p>
      <w:r>
        <w:rPr>
          <w:b/>
        </w:rPr>
        <w:t>E. 6.4.1</w:t>
      </w:r>
    </w:p>
    <w:p>
      <w:r>
        <w:t>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w:t>
      </w:r>
    </w:p>
    <w:p>
      <w:r>
        <w:t>A/1926/2024 - 15/22 - Il convient de se référer à la version de l'ESS publiée au moment déterminant de la décision querellée (ATF 143 V 295 consid. 4 ; arrêt du Tribunal fédéral 8C_655/2016 du 4 août 2017 consid. 6.3). Les tableaux TA1, T1 et T17 de l’ESS 2022 ont été publiés le 29 mai 2024 ; l'ESS 2020 ont été publiés le 23 août 2022.</w:t>
      </w:r>
    </w:p>
    <w:p>
      <w:r>
        <w:rPr>
          <w:b/>
        </w:rPr>
        <w:t>E. 6.4.2</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 En l’occurrence, la demande de prestations ayant été déposée en date du 17 février 2023, est litigieux le droit éventuel à une rente d’invalidité né antérieurement au 1er janvier 2024 (cf. art. 29 al. 1 LAI), de sorte qu’est applicable l’art. 26bis al. 3 RAI dans sa teneur en vigueur jusqu’au 31 décembre 2023.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7.</w:t>
      </w:r>
    </w:p>
    <w:p>
      <w:r>
        <w:t>7.1 En l'espèce, l'intimé, en s'appuyant sur l'avis du SMR du 13 mai 2024, lui-même fondé, sur le plan somatique, sur les rapports médicaux au dossier, et sur le plan psychique, sur le rapport d'expertise psychiatrique du 28 avril 2024, a</w:t>
      </w:r>
    </w:p>
    <w:p>
      <w:r>
        <w:t>A/1926/2024 - 16/22 - nié le droit du recourant à une rente d'invalidité. Celui-ci conteste la valeur probante de cette expertise. Le SMR a retenu, à titre d'atteintes à la santé incapacitantes, un statu post rupture du LCA du genou droit, ainsi qu'un épisode dépressif moyen avec un syndrome somatique. Il a considéré que le recourant, inapte à exercer son activité habituelle de plongeur/commis de cuisine dans la restauration depuis le 7 juin 2022, pouvait travailler à 80% à partir du 28 avril 2023 dans une activité adaptée à ses limitations fonctionnelles psychiques (en particulier une tristesse et une fatigue subjective, une anhédonie partielle, un manque de réactivité émotionnelle à des événements ou à des circonstances habituellement agréables) et somatiques (pas de déplacement en terrain accidenté, pas de déplacement avec port de charge, pas d'utilisation d'échelles, escabeau ou travail en hauteur avec risque de chute, pas de station accroupie ou à genoux prolongée). 7.1.1 Sous l'angle psychique, le rapport d'expertise du 28 avril 2024 repose sur les pièces médicales au dossier (p. 3-11), les plaintes et l'anamnèse (p. 11-22), l'examen clinique et les constatations objectives (p. 23-29), ainsi que l'évaluation circonstanciée du cas (p. 29-42). L'expert a posé les diagnostics, avec répercussion sur la capacité de travail, de trouble dépressif récurrent moyen avec syndrome somatique depuis juin 2022 (F33.11), et, sans répercussion sur la capacité de travail, de trouble de la personnalité mixte émotionnellement labile et dépendante non décompensé actuellement (F61.0 ; p. 31). Compte tenu de ces atteintes psychiques, il convient de déterminer leur éventuel caractère incapacitant à la lumière des indicateurs jurisprudentiels (consid. 4.2 ci-dessus). S’agissant de la catégorie « degré de gravité fonctionnelle », l'expert a uniquement objectivé des limitations fonctionnelles légères, sans ralentissement psychomoteur, sans troubles de la concentration, et sans anhédonie totale (p. 29, 38-39). Les fonctions cognitives du recourant étaient conservées. Il ne présentait pas de troubles de l'attention, ni de troubles de la mémoire (p. 24). Concernant le « succès du traitement et de la réadaptation », l'expert a indiqué que le recourant bénéficiait d'un traitement antidépresseur de duloxétine (p. 22). Cependant, les résultats de l'analyse sanguine révélaient l'absence d'un traitement antidépresseur à des taux sanguins efficaces (p. 26, 39). Cela plaidait contre des limitations fonctionnelles significatives. Il en allait de même de l'absence d'hospitalisation pour des raisons psychiatriques, et du suivi psychiatrique seulement bimensuel (et pas hebdomadaire ; p. 31). L'expert a ajouté que la prise du traitement antidépresseur à des taux sanguins efficaces permettrait une amélioration de la capacité de travail du recourant (p. 41). Force est de constater que ce dernier n'est pas confronté à un échec de toute thérapie médicalement indiquée. L'expert a également relevé que le recourant n'était pas motivé pour une</w:t>
      </w:r>
    </w:p>
    <w:p>
      <w:r>
        <w:t>A/1926/2024 - 17/22 - réadaptation professionnelle et qu'il souhaitait une rente d'invalidité complète (p. 13, 30 et 39). S’agissant des « comorbidités », l'expert n'a pas mis en évidence de maladie psychiatrique concomitante. Il a indiqué que les diagnostics psychiatriques retenus n'entraînaient pas de limitations fonctionnelles significatives et que le trouble de la personnalité du recourant n'était pas décompensé (p. 39). S’agissant du complexe de « la personnalité », l'expert a retenu un trouble mixte de la personnalité émotionnellement labile et dépendante, présent depuis le début de l'âge adulte, en soulignant que ce trouble, qui n'avait pas nécessité une hospitalisation, n'avait pas empêché le recourant de gérer son quotidien et de travailler dans le passé (p. 39). En ce qui concerne le « contexte social », l’expert a noté que le recourant rencontrait son amie deux fois par semaine et d'autres amis quelques fois par mois. Il contactait par téléphone quelques fois par mois des membres de sa famille (mère, frères et sœur) qui vivaient à l'étranger, étant précisé que la relation avec son entourage était qualifiée de bonne (p. 15, 18, 20). Le recourant n'est donc pas isolé et son contexte amical et familial lui procurent des ressources mobilisables. Quant à la catégorie « cohérence », l’expert a relevé une discordance dans la mesure où le recourant alléguait être en totale incapacité de travail, alors qu'il ne présentait pas de limitations fonctionnelles sévères. Il a constaté que son hygiène était bonne (p. 23), et qu'il était autonome dans les fonctions de la vie quotidienne. Le recourant préparait les repas, faisait les courses, s'occupait du ménage et de la lessive, gérait ses tâches administratives légères - celles complexes étant effectuées par l'assistant social -, regardait les informations, séries et films, se déplaçait seul en transports publics, se promenait, et était parti seul en vacances pour rendre visite à sa famille en juin 2023 pendant quinze jours (p. 18-21). Les critiques soulevées par le recourant à l'égard des conclusions posées par l'expert psychiatre ne peuvent pas être suivies. Contrairement à ce qu'il prétend, l'expert a tenu compte de tous les rapports des médecins traitants, en relevant les constats médicaux, diagnostics et limitations fonctionnelles posés par ses confrères (p. 6-11). L'expert ne se contredit pas lorsqu'il indique que les limitations fonctionnelles du recourant sont légères seulement, étant donné que ses constatations reposent sur son examen clinique et les tests psychométriques réalisés. S'il a fait mention de symptômes sévères, selon le test de BECK, l'expert a souligné que cette évaluation traduisait la gravité subjective des symptômes dépressifs. Par contre, le test MADRS, qui permettait l'évaluation de la gravité observée des symptômes, mettait en évidence une dépression modérée et non pas sévère, comme retenu par les psychiatres traitants. En d'autres termes, il existait une incohérence entre l'importance des plaintes alléguées et les constatations objectives cliniques (p. 28-29). L'expert a par ailleurs motivé la raison pour laquelle la capacité de travail du recourant était, à</w:t>
      </w:r>
    </w:p>
    <w:p>
      <w:r>
        <w:t>A/1926/2024 - 18/22 - tout le moins, de 80% dans toute activité simple intellectuellement, compte tenu de ses limitations fonctionnelles légères et de son autonomie dans les fonctions de la vie quotidienne (p. 31, 38). Au passage, l'atteinte psychiatrique du recourant, pour laquelle il a été mis en arrêt de travail à compter du 7 juin 2022, est apparue dans un contexte de conflit professionnel (dossier intimé p. 25, 30, 33). L'expert psychiatre, qui avait été mandaté par l'assurance-maladie collective, avait déjà considéré en septembre 2022 que la capacité de travail du recourant pourrait être entière auprès d'un autre employeur, dans une activité adaptée selon le profil de personnalité, pour autant que l’intéressé suive un traitement optimal (dossier intimé p. 31). À cet égard, l'expert psychiatre, mandaté cette fois par l'intimé a, comme on l'a vu supra, mentionné que le trouble de la personnalité du recourant, présent depuis le début de l'âge adulte, ne l'avait pas entravé dans l'exercice d'une activité lucrative auprès de différents employeurs (dossier intimé p. 208, 231), et qu'un traitement antidépresseur bien dosé permettrait une augmentation de la capacité de travail de 80 à 100% (p. 228, 233). Autrement dit, l'exercice d'une activité professionnelle dépend en particulier de la compliance du recourant à son traitement médicamenteux, étant souligné que celui-ci ne souffre pas d'une atteinte psychique qui l'empêcherait de comprendre la nécessité d'un traitement adéquat (dossier intimé p. 234). Ce taux, minimal, de 80%, dans une activité adaptée, était du reste retenu également par la Dre E______, psychiatre traitante (dossier intimé p. 19), dans son rapport du 17 mars 2023 (dossier intimé p. 45). Si, dans son rapport subséquent du 28 avril 2023, un mois plus tard, cette médecin a évalué ce taux à 40% au début de la reprise de l'activité, puis progressivement entre 80 et 100%, elle n'a toutefois pas fait état d'autres limitations fonctionnelles d'un point de vue psychique que celles énumérées précédemment qui justifieraient cette baisse (dossier intimé p. 90-92). Quant au rapport du Dr I______ du 4 décembre 2023, il est succinct et ne fait pas état d'éléments qui auraient été omis par l'expert. De plus, comme le met en exergue l'expert psychiatre mandaté par l'intimé, l’évaluation effectuée par les psychiatres traitants n’est pas suffisamment motivée en fonction des critères établis dans l'ATF 141 V 281 (dossier intimé p. 232). Ainsi, compte tenu des indicateurs pertinents, et en l'absence de rapport médical mettant en doute les conclusions motivées de l'expert psychiatre mandaté par l'intimé, lesquelles emportent en conséquence la conviction, il y a lieu d'admettre que le recourant demeure, sur le plan psychique, capable de travailler dans toute activité à 80%. 7.1.2 Sous l'angle somatique, le discret syndrome sensitivo-moteur hémicorporel droit que présente le recourant à la suite d'un accident de moto survenu en 1997 (dossier intimé p. 47-48), n'est pas incapacitant (rapport médical du 26 août 2022,</w:t>
      </w:r>
    </w:p>
    <w:p>
      <w:r>
        <w:t>A/1926/2024 - 19/22 - dossier intimé p. 25). Depuis lors, le recourant a du reste collaboré, notamment à plein temps, au service de différents employeurs (dossier intimé p. 208), et d'après le dernier employeur, il était physiquement capable de travailler comme plongeur (p. 61). En ce qui concerne l'atteinte au membre inférieur droit, contrairement à ce que prétend le recourant, l'intimé a instruit le dossier, en soumettant un questionnaire préétabli au service de chirurgie orthopédique et traumatologie de l'appareil moteur des HUG (p. 122-125). Cet établissement avait diagnostiqué une rupture du LCA du genou droit mise en évidence sur l'IRM du 25 janvier 2023 associée à une lésion RAMP inférieure du ménisque interne ayant nécessité une approche conservatrice avec de la physiothérapie intensive et une prise en charge par les médecins rééducateurs (rapport de consultation ambulatoire du 13 juin 2023 ; p. 127). Dans ce questionnaire complété le 30 juin 2023, ledit service n'a pas indiqué que cette atteinte serait incapacitante, en tout cas dans une activité adaptée (p. 125). Sur cette base, par avis du 22 août 2023, le SMR a conclu que le recourant était inapte à travailler comme plongeur/commis de cuisine dans la restauration, mais qu'il pouvait exercer une activité adaptée à ses limitations physiques (p. 142-143). Le recourant a contesté le projet de décision du 13 novembre 2023 par lequel l'intimé entendait lui refuser toute prestation, en produisant uniquement un rapport de son psychiatre traitant (p. 162). Le SMR a alors, par avis du 13 mai 2024, confirmé ses précédentes conclusions sur le plan somatique. En l'absence de rapport médical mettant en doute les conclusions du SMR sur le plan somatique, l'intimé pouvait légitimement s'appuyer sur l'avis du SMR dont les compétences consistent notamment à évaluer l'intégralité d'un dossier et à se prononcer sur les éléments mentionnés (art. 59 al. 2bis LAI, dans sa teneur en vigueur jusqu'au 31 décembre 2021 ; art. 54a LAI, entré en vigueur le 1er janvier 2022 qui reprend le contenu de l'art. 59 al. 2 et 2bis aLAI et ne subit aucune modification matérielle [Message concernant la modification de la loi fédérale sur l’assurance-invalidité (Développement continu de l’AI) du 15 février 2017, FF 2017 2363 p. 2495 ; cf. arrêt du Tribunal fédéral 9C_560/2023 du 8 novembre 2023 consid. 5.3.1). Il sera au demeurant souligné que, dans le cadre de la procédure par devant la chambre de céans, le recourant a obtenu, à sa demande, à trois reprises la prolongation du délai qui lui était octroyé pour répliquer, dans le but de verser au dossier des rapports médicaux. Il n'a finalement produit aucun document médical. 7.1.3 En définitive, la chambre de céans retiendra que le recourant est capable d'exercer une activité adaptée à 80% depuis, en tout cas le 1er août 2023, date à compter de laquelle il pourrait au plus tôt prétendre à une rente d'invalidité vu le dépôt tardif de sa demande de prestations (cf. art. 29 al. 1 et 3 LAI).</w:t>
      </w:r>
    </w:p>
    <w:p>
      <w:r>
        <w:t>A/1926/2024 - 20/22 - Au vu de ce qui précède, par appréciation anticipée des preuves (ATF 122 II 464 consid. 4a), il est superflu d'entendre oralement le recourant, qui s'est déjà exprimé par écrit, ou de mettre en œuvre une expertise. 7.2 Reste à se prononcer sur le degré d'invalidité du recourant, étant précisé que ce dernier ne conteste pas le calcul de l'intimé. En ce qui concerne le revenu d'invalide, c'est à juste titre que l'intimé s'est appuyé sur les valeurs statistiques, puisque le recourant n’exploite pas sa capacité de travail résiduelle. Dès lors qu’au moment déterminant de la décision litigieuse, le 14 mai 2024, les ESS 2022 n’étaient pas encore publiées, c’est à bon droit que l’intimé s’est référé aux ESS 2020 (ATF 143 V 295 consid. 4 ; arrêt du Tribunal fédéral 8C_655/2016 du 4 août 2017 consid. 6.3). Il convient dès lors de prendre pour base le salaire mensuel de CHF 5'261.- (valeur statistique médiane figurant à la ligne « total » pour un homme, niveau de compétence 1 de la table TA1_tirage_skill_level de l'ESS 2020, part au 13e salaire comprise) ou celui annuel de CHF 63'132.- (5'261.- × 12). C'est le lieu de rappeler que ce salaire statistique s'applique en principe à tous les assurés qui ne peuvent plus accomplir leur ancienne activité, à l'instar du recourant,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9C_633/2016 du 28 décembre 2016 consid. 4.3). Ce salaire hypothétique se base toutefois sur une durée hebdomadaire de travail de 40 heures, inférieure à la moyenne usuelle dans les entreprises. Il convient alors de l'ajuster à la durée hebdomadaire normale de travail en 2020, laquelle est de 41.7 heures (tableau « Durée normale du travail dans les entreprises selon la division économique » de l'Office fédéral de la statistique [ci-après : OFS]), ce qui porte le salaire annuel à CHF 65'815.- (63'132.- × 41.7 / 40). Après adaptation de ce montant à l'évolution des salaires nominaux pour les hommes en 2023 - année déterminante pour la comparaison des revenus (table T39 de l'OFS ; en 2020 : 2'298.- et en 2023 : 2'343.-) -, le revenu avec invalidité s'élève à CHF 53'683.- pour un 80% ([65'815.- × 2'343.- / 2298] × 80 / 100). Même en procédant à l'abattement maximum de 25% sur le revenu d'invalide (cf. ATF 126 V 78 consid. 5 ; art. 26bis al. 3 RAI dans sa teneur en vigueur du 1er janvier 2022 au 31 décembre 2023 ici applicable ; ATF 150 V 410 consid. 10.6 ; cf. consid. 6.4.2 supra), cela ne modifierait pas l'issue du litige. En effet, dans cette hypothèse, le revenu d'invalide s'élèverait à CHF 40'262.-.</w:t>
      </w:r>
    </w:p>
    <w:p>
      <w:r>
        <w:t>A/1926/2024 - 21/22 - Comparé au revenu sans invalidité de CHF 52'416.- en 2023, selon les renseignements fournis par l'ancien employeur le 12 avril 2023 (dossier intimé p. 61, 66), dont rien ne justifie de s'écarter, il en résulterait un degré d'invalidité de 23.18% ([52'416.- - 40'262.-] / 52'416.- × 100), arrondi à 23% (ATF 130 V 121 consid. 3.2), soit un taux inférieur aux 40% ouvrant le droit à une rente. En conséquence, la décision litigieuse, en tant qu’elle refuse au recourant tout droit à une rente, ne peut qu’être confirmée. 8. Comme relevé au consid. 2 ci-dessus, l'absence de motivation de la décision litigieuse quant au refus d'octroi des mesures d'ordre professionnel a été traitée sous l'angle du grief tiré d'une prétendue violation du droit d'être entendu. Le recourant, représenté, n'ayant pas pris de conclusions tendant à l'octroi de ces mesures, l'objet du litige a été limité au droit éventuel à la rente d'invalidité (cf. ATF 125 V 413 consid. 1b). À toutes fins utiles, il sera néanmoins relevé que 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En l'espèce, comme relevé supra, le recourant a fait savoir à l'expert qu'il ne souhaitait pas une mesure de réadaptation. Son aptitude subjective de réadaptation fait donc défaut, comme également démontré par ses conclusions prises dans le cadre de la présente procédure.</w:t>
      </w:r>
    </w:p>
    <w:p>
      <w:r>
        <w:rPr>
          <w:b/>
        </w:rPr>
        <w:t>E. 9</w:t>
      </w:r>
    </w:p>
    <w:p>
      <w:r>
        <w:t>Au vu de ce qui précède, le recours sera rejeté. Le recourant, qui succombe, n'a pas droit à des dépens (art. 61 let. g LPGA a contrario).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A/1926/2024 - 22/22 -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