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ATAS/364/2016 vom 10. Mai 2016</w:t>
      </w:r>
    </w:p>
    <w:p>
      <w:r>
        <w:t>GE Cour de justice, 2016-05-10, FR</w:t>
      </w:r>
    </w:p>
    <w:p>
      <w:r>
        <w:rPr>
          <w:b/>
        </w:rPr>
        <w:t xml:space="preserve">Quelle: </w:t>
      </w:r>
      <w:r>
        <w:t>https://mcp.opencaselaw.ch/entscheid/ge_gerichte_ATAS_364_2016</w:t>
      </w:r>
    </w:p>
    <w:p>
      <w:r>
        <w:t>FR: GE_GERICHTE ATAS/364/2016 du 10 mai 2016</w:t>
      </w:r>
    </w:p>
    <w:p>
      <w:r>
        <w:t>IT: GE_GERICHTE ATAS/364/2016 del 10 maggio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La recourante a qualité pour recourir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w:t>
      </w:r>
    </w:p>
    <w:p>
      <w:r>
        <w:t>A/783/2015 - 12/26 -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w:t>
      </w:r>
    </w:p>
    <w:p>
      <w:r>
        <w:t>A/783/2015 - 13/26 -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Le présent recours porte sur le point de savoir quel taux d’activité professionnelle la recourante aurait à défaut d’atteinte à la santé, et donc sur son statut, et sur la répercussion de ses atteintes à la santé sur sa capacité de travail et de gain, donc sur le principe et le degré de son invalidité.</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w:t>
      </w:r>
    </w:p>
    <w:p>
      <w:r>
        <w:t>A/783/2015 - 14/26 -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w:t>
      </w:r>
    </w:p>
    <w:p>
      <w:r>
        <w:rPr>
          <w:b/>
        </w:rPr>
        <w:t>E. 6</w:t>
      </w:r>
    </w:p>
    <w:p>
      <w:r>
        <w:t>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w:t>
      </w:r>
    </w:p>
    <w:p>
      <w:r>
        <w:t>A/783/2015 - 15/26 -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avant même qu’une enquête économique sur le ménage de la recourante ne soit effectuée, l’intimé a retenu que cette dernière avait un statut mixte constitué d’une sphère professionnelle de 50 % et, partant, d’une sphère ménagère de 50 %, nonobstant le fait que la recourante avait toujours déclaré qu’elle avait réduit progressivement son taux d’activité pour des raisons de santé. Il s’est fondé sur l’avis de son SMR qu’une incapacité de travail de la recourante dès janvier 2007 n’était pas fondée médicalement. Le dossier ne comporte certes pas de certificats d’incapacité de travail antérieurs à janvier 2011. Cependant, pour exclure que, dès 2011 ou les années subséquentes, la recourante aurait travaillé, en l’absence d’atteinte à la santé, à un taux supérieur à 50 %, il ne saurait suffire de lui opposer un manque de preuves formelles d’un état de santé objectivement déficient antérieurement à ces années, d’autant plus que la recourante explique en l’espèce pourquoi elle n’a pas toujours travaillé à 100 %, respectivement a baissé ses taux d’activité, par des considérations trouvant appui dans le dossier et apparaissant au surplus vraisemblables selon l’expérience générale de la vie. Il résulte en effet du dossier, de façon en outre des plus plausible, d’une part qu’il n’y a pas toujours eu pour la recourante un nombre d’heures de travail suffisant pour justifier un emploi à plein temps (que ce soit dans l’enseignement en matière d’économie familiale et alimentation, dans le magasin d’alimentation de sa sœur et son beau-frère, ou comme éducatrice du jeune enfant en crèche), et d’autre part que la recourante a rencontré ou à tout le moins ressenti des problèmes de santé depuis 1997 et qu’en réduisant ses taux d’activité elle a pensé pouvoir préserver une certaine capacité de gain, limiter ses absences pour raisons de santé à ses postes de travail successifs et éviter à ses employeurs les inconvénients liés à ses absences et à elle-même le risque d’être finalement licenciée. Ces explications sont rendues hautement vraisemblable au vu notamment des rapports des 10 octobre 2011 et 19 septembre 2014 de son médecin traitant la suivant depuis 1989 et du rapport d’expertise du BEM de Vevey du 18 décembre 2013, de même que des relevés, crédibles, que la recourante a faits mois par mois</w:t>
      </w:r>
    </w:p>
    <w:p>
      <w:r>
        <w:t>A/783/2015 - 16/26 - de ses activités professionnelles, avec l’indication de ses taux d’activité successifs, des explications des fluctuations de ces derniers et de ses jours ou semaines de maladie. Il n’est pas déterminant que la recourante ait pu se permettre de ne pas forcément disposer d’un revenu à plein temps du fait que son mari réalisait un revenu suffisant pour faire face aux dépenses courantes de la vie et que le couple était sans enfant et n’avait pas de loyer mais seulement des charges (au demeurant pas chiffrées) à assumer, étant devenu propriétaire du chalet des parents décédés de la recourante et y habitant. Du fait de sa double formation de restauratrice et hôtelière et d’enseignante, ainsi que de l’absence de contraintes liées à l’éducation d’enfant, de son affection pour les enfants (non concrétisée par une maternité souhaitée), de son âge (à savoir 48 ans lors du dépôt de la demande de prestations de l’assurance- invalidité), d’un légitime souhait de disposer de davantage de moyens financiers, la recourante était naturellement encline à exercer une activité lucrative – en particulier celle d’éducatrice du jeune enfant en crèche – à un taux supérieur à 50 %. Son parcours professionnel effectif a d’ailleurs comporté globalement des taux d’activité supérieur à 50 %, à savoir de 100 % ou 80 % dans l’enseignement, de 80 % dans le magasin d’alimentation de sa sœur et son beau-frère, ainsi que, comme éducatrice du jeune enfant en crèche (d’abord comme remplaçante sur appel, puis comme auxiliaire et au besoin remplaçante), 60 % en 2006, 70 % en 2007, 62.5 % en 2008, 60 % en 2009 et 86 % de janvier à juillet 2010. c. Le taux de 50 % attribué par l’intimé à la sphère professionnelle de la recourante est insuffisant. La chambre de céans estime qu’en termes de vraisemblance prépondérante, à défaut d’atteinte à la santé, la recourante aurait exercé une activité lucrative à un taux supérieur à un mi-temps, mais qu’il relève de la simple possibilité (et non de la vraisemblance prépondérante) que ce taux d’activité aurait été de 100 %. Au regard des circonstances du cas d’espèce, le passage de la vraisemblance prépondérante à la simple possibilité se situe vers un 80 %. Comme l’intimé l’a retenu à juste titre sur le plan du principe, la recourante doit se voir attribuer un statut mixte, mais les parts des sphères professionnelle et ménagère doivent être fixées à respectivement 80 % et 20 %. Certes, s’il fallait s’en tenir aux taux d’incapacité de gain dans la sphère professionnelle et d’empêchement dans la sphère ménagère retenus en l’espèce par l’intimé, de respectivement 40 % et 7.5 %, la recourante n’en aurait pas pour autant droit à une rente d’invalidité, dès lors que son taux d’invalidité pertinent serait de 33.5 % (à savoir 32 % [= 80 % x 40 %] + 1.5 % [= 20 % x 7.5 %]), arrondi à 34 % et que le taux d’invalidité minimal requis pour l’obtention d’une rente d’invalidité (un quart de rente) est de 40 % (art. 28 al. 2 LAI). Elle disposerait néanmoins d’un intérêt digne de protection suffisant à l’admission partielle de son recours et à la</w:t>
      </w:r>
    </w:p>
    <w:p>
      <w:r>
        <w:t>A/783/2015 - 17/26 - modification de la décision attaquée, ne serait-ce que dans la perspective éventuelle future d’une aggravation de son état de santé.</w:t>
      </w:r>
    </w:p>
    <w:p>
      <w:r>
        <w:rPr>
          <w:b/>
        </w:rPr>
        <w:t>E. 7</w:t>
      </w:r>
    </w:p>
    <w:p>
      <w:r>
        <w:t>a. Concernant la sphère ménagère de la recourante.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w:t>
      </w:r>
    </w:p>
    <w:p>
      <w:r>
        <w:t>A/783/2015 - 18/26 -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En l’espèce – en plus de la question, déjà tranchée, de son taux d’activité professionnelle en l’absence d’atteinte à la santé –, la recourante conteste, il est vrai de façon peu motivée, que ses empêchements dans sa sphère ménagère ne seraient que de 7.5 %. b/aa. Quand bien même la recourante ne remet pas ce point explicitement en question, il appert que, sauf pour les activités regroupées sous la rubrique « Divers » des tâches ménagères (comprenant les soins infirmiers, l’entretien des plantes et du jardin, la garde d’animaux domestiques, la confection de vêtements. des activités d’utilité publique, la formation complémentaire, la création artistique), l’intégralité de ses empêchements se trouve compensée par l’exigibilité mise à la charge du mari de cette dernière. L’aide susceptible d’être exigée de membres de la famille, en particulier d’un conjoint, va plus loin que celle à laquelle on peut s’attendre sans atteinte à la santé ; il faut se demander comment se comporterait une famille (ou un époux) raisonnable si aucune prestation d’assurance ne devait être octroyée, mais il faut aussi veiller à ce que, au vu de l’ensemble des circonstances, la charge ainsi répercutée sur les membres de la famille (notamment le conjoint) ne soit pas excessive (arrêt du Tribunal fédéral 9C_78572014 du 30 septembre 2015 consid. 3.3 ; Michel VALTERIO, Droit de l’assurance-vieillesse et survivants et de l’assurance-invalidité. Commentaire thématique, 2011, p. 578 s, n. 2157 s.). En l’occurrence, l’intimé ne s’est pas enquis des conséquences que l’horaire de travail particulier du mari de la recourante (de 3h du matin à 13 h de l’après-midi) avait pour celui-ci, notamment pour l’aménagement de plages de repos suffisantes. Il est vrai cependant que le total de l’exigibilité retenue, pondérée au regard de l’importance respective des activités considérées, n’apparaît pas excessive, puisqu’elle est de 14 %. b/bb. La pondération de chacune des activités formant les tâches ménagères de la recourante ne procède pas d’une appréciation que la chambre de céans aurait des motifs suffisants de ne pas retenir. b/cc. Il n’en demeure pas moins qu’en l’occurrence, faute du moins d’avoir été soumis à l’appréciation des experts médecins (en particulier de l’expert psychiatre), la force probante du rapport de l’enquête économique faite sur le ménage de la recourante se trouve amoindrie d’une part par le fait que ses problèmes de santé, qui ont certes aussi une dimension somatique, relèvent principalement du registre psychiatrique, et d’autre part qu’il n’a pas été apprécié si et dans quelle mesure la fibromyalgie dont elle souffrait de façon reconnue par l’experte rhumatologue était surmontable par un effort de volonté raisonnable, autrement dit était cause d’incapacité de gain et d’accomplissement des tâches ménagères, au regard de la grille d’évaluation établie récemment par le Tribunal fédéral. Il sied en effet de</w:t>
      </w:r>
    </w:p>
    <w:p>
      <w:r>
        <w:t>A/783/2015 - 19/26 - rappeler que l’enquête économique sur le ménage n’est pas propre (du moins sans le complément précité) à permettre l’évaluation des limitations liées à des troubles psychiques. Or, si une autre appréciation de l’impact de la fibromyalgie de la recourante devait être faite, c’est non seulement l’appréciation de son taux d’incapacité de gain qui devait être revue (donc pour sa sphère professionnelle), mais aussi, possiblement, de sa capacité d’accomplir ses tâches ménagères. Aussi s’impose-t-il de laisser ici ouverte – du moins à ce stade – la question de savoir si le 7.5 % de taux d’empêchement retenu par l’intimé peut être retenu, au demeurant non sans mentionner que l’appréciation des taux de pondération et d’empêchement propres aux activités formant les tâches ménagères peut aussi être influencée par le taux de la sphère ménagère, en l’occurrence de 20 % et non de 50 %, moins de temps disponible étant laissé à la recourante pour accomplir lesdites tâches.</w:t>
      </w:r>
    </w:p>
    <w:p>
      <w:r>
        <w:rPr>
          <w:b/>
        </w:rPr>
        <w:t>E. 8</w:t>
      </w:r>
    </w:p>
    <w:p>
      <w:r>
        <w:t>a. Concernant la sphère professionnelle, l’intimé a retenu que la capacité de travail et de gain de la recourante était de 60 %, taux que cette dernière conteste. b. Pour déterminer si et dans quelle mesure les atteintes à la santé de la recourante affectent la capacité de travail et de gain de cette dernière, il faut en premier lieu se référer aux avis et rapports émis à ce propos par les spécialistes. Il incombe à l’administration et, sur recours, au juge d’apprécier les preuves librement (art. 61 let. c in fine LPGA ; art. 20 al. 1 phr. 2 LPA), étant cependant précisé que la jurisprudence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w:t>
      </w:r>
    </w:p>
    <w:p>
      <w:r>
        <w:t>A/783/2015 - 20/26 -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w:t>
      </w:r>
    </w:p>
    <w:p>
      <w:r>
        <w:t>A/783/2015 - 21/26 -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a. En l’espèce, le rapport d’expertise du 18 décembre 2013 du BEM de Vevey émane de trois médecins spécialistes, pour deux d’entre eux en médecine interne et en rhumatologie et pour le troisième en psychiatrie et psychothérapie, soit dans trois disciplines médicales dont il n’est pas contestable ni contesté qu’elles sont celles qui doivent permettre d’appréhender l’entier de la situation de la recourante. Cette dernière n’a fait valoir aucun motif de récuser lesdits experts, et elle n’a pas proposé de questions à leur poser en complément à celles de l’intimé. b. D’un point de vue formel, ledit rapport apparaît complet. En effet, il relate l’anamnèse détaillée de l’assurée (de médecine interne et rhumatologie et psychiatrique), fait mention des plaintes et données subjectives de l’assurée, somatiques (sur les plans de la médecine générale et rhumatologiques) et psychiatriques (spontanées puis sur demande de façon systématique), consigne les constatations objectives faites par les experts (status de médecine interne et rhumatologique et status psychiatrique) et sur la base des examens radiologiques, comporte une discussion au plan somatique, au plan psychiatrique et entre les experts, énumère les diagnostics retenus, et apprécie leurs influences sur la capacité de travail et sur la réadaptation professionnelle. Ce faisant, il répond aux questions posées par le mandat d’expertise. c. D’un point de vue matériel – sous la réserve reprise plus loin du traitement de la fibromyalgie de la recourante –, les experts ont effectué les examens et ont obtenu les renseignements et documents médicaux pertinents concernant la recourante, et ils ont procédé, tant individuellement que de façon concertée, à une discussion approfondie de son cas. Ils ont retenu, à titre de diagnostics ayant une répercussion sur la capacité de travail, d’une part, sur le plan somatique, un diabète insulino- dépendant, une hypothyroïdie substituée et une spondylodiscarthrose débutante sans radiculopathie ni myélopathie, et, sur le plan psychiatrique, un épisode dépressif léger et des troubles mixtes de la personnalité.</w:t>
      </w:r>
    </w:p>
    <w:p>
      <w:r>
        <w:t>A/783/2015 - 22/26 - Leurs conclusions que ces affections somatiques n’impliquaient pas en elles-mêmes une incapacité de travail mais des limitations fonctionnelles au demeurant limitées (à savoir des horaires réguliers et l’absence de charges à porter supérieures à 5-8 kg de manière répétitive et de 10-15 kg de manière occasionnelle) apparaissent d’autant moins contestables que le diabétologue de la recourante a indiqué à l’experte coordinatrice de l’expertise que le diabète de la recourante ne justifiait pas d’incapacité de travail. La recourante n’a d’ailleurs pas produit de rapports médicaux remettant ces conclusions en question, sinon celui du 19 septembre 2014 de son médecin traitant, selon lequel les difficultés que posait l’insulino- dépendance de la recourante étaient sous-estimées. Sur ce point, l’avis du médecin traitant ne peut se voir reconnaître une force probante suffisante pour mettre en doute l’appréciation des experts, conforté – comme déjà dit – par celle du médecin traitant spécialiste du problème diabétique de la recourante, au surplus d’autant plus que pour réelles qu’elles soient, les difficultés inhérentes à une insulino-dépendance n’apparaissent généralement pas incapacitantes. On ne voit pas non plus que les experts auraient émis une appréciation non fondée en retenant que les autres diagnostics posés concernant des affections physiques – à savoir une obstruction nasale chronique sur déviation septale sévère gauche et hypertrophie du cornet moyen droit, une fistule oro-antrale au niveau de la dent 16, une paradontose étendue, un glaucôme anamnestique, une furonculose récidivante secondaire des follicules sur rasage et un status après incision d’un abcès vulvo-péritonéal gauche – n’avaient pas de répercussion sur la capacité de travail. S’agissant de la furonculose, la critique avancée par le médecin traitant de la recourante que les experts ont eu tort de ne pas lui reconnaître un caractère incapacitant est d’autant moins convaincante que cette affection apparaît liée à un épilage méthodique, fréquent et trop poussé laissant des cicatrices au niveau du pubis, des plis de l’aine et du pli inter-fessier avec follicule, effectué au surplus sans prendre toutes précautions nécessaires. Sous la réserve déjà annoncée et reprise plus loin concernant la fibromyalgie, les conclusions arrêtées par les experts pour les affections psychiatriques de la recourante sont elles aussi motivées sérieusement. Les experts les ont identifiées différemment et estimées plus sévères que le Dr C______ ne l’avait fait dans son expertise du 31 mai 2011. Même le médecin traitant de la recourante n’amène pas d’argument rendant vraisemblable que cette dernière aurait un état dépressif et/ou d’autres affections psychiques d’une gravité supérieure à celle qui sous-tend les diagnostics posés d’épisode dépressif léger et de troubles mixtes de la personnalité, étant rappelé que si le Dr B______, au demeurant non psychiatre, a évoqué, en 2011, un état dépressif majeur et un burn out, cet état dépressif était maîtrisé et le burn out dépassé, en 2014, et que le Dr C______, dans son expertise précitée, avait posé le diagnostic de trouble de l’adaptation avec réaction mixte, anxieuse et dépressive, en rémission.</w:t>
      </w:r>
    </w:p>
    <w:p>
      <w:r>
        <w:t>A/783/2015 - 23/26 -</w:t>
      </w:r>
    </w:p>
    <w:p>
      <w:r>
        <w:rPr>
          <w:b/>
        </w:rPr>
        <w:t>E. 10</w:t>
      </w:r>
    </w:p>
    <w:p>
      <w:r>
        <w:t>a. Les expert rhumatologues ont retenu que la recourante présentait 18 points sur 18 parlant en faveur d’une fibromyalgie, mais ils ont estimé que cette dernière n’avait pas de répercussion sur la capacité de travail de la recourante. Ils sont parvenus à cette conclusion pour l’essentiel en appliquant les critères jurisprudentiels prévalant au moment où ils ont rendu leur rapport d’expertise, fondés sur la présomption qu’à l’égal des troubles somatoformes douloureux, auxquels elle est assimilée (ATF 132 V 65 consid. 3 et 4.1), la fibromyalgie représentait une affection objectivement surmontable par un effort de volonté raisonnable et n’était donc en soi en principe pas invalidante. L’intimé a repris ce point de vue. b. Or, selon la nouvelle jurisprudence du Tribunal fédéral (ATF 141 V 281), il n’y a plus de présomption selon laquelle les syndromes du type troubles somatoformes douloureux et affections psychosomatiques assimilées peuvent être surmontés en règle générale par un effort de volonté raisonnablement exigible (ATF 132 V 65 ; 131 V 49 ;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(en l’espèce de la fibromyalgie)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w:t>
      </w:r>
    </w:p>
    <w:p>
      <w:r>
        <w:t>A/783/2015 - 24/26 - Il y a lieu également de recenser et évaluer ses ressources mobilisables. b/bb. Les déductions tirées des indicateurs précités doivent ensuite être soumises à un examen de cohérence au regard des indicateurs liés au comportement de l’assuré. Il s’agit d’examiner si ce dernier est limité de manière semblable par sa pathologie dans les divers domaines de sa vie, en particulier dans son activité professionnelle, l’exécution de ses travaux habituels et les autres activités (par exemple les loisirs), si possible en comparant le niveau d’activité sociale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Contrairement à l’avis de l’intimé sur ce point, la nouvelle jurisprudence sur les troubles somatoformes et affections psychosomatiques assimilées est applicable au cas d’espèce, dès lors que la décision de l’intimé n’a pas acquis force de chose décidée. Sans doute un changement de jurisprudence n’est-il un motif ni de révision, ni de reconsidération et ne déploie-t-il,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w:t>
      </w:r>
    </w:p>
    <w:p>
      <w:r>
        <w:rPr>
          <w:b/>
        </w:rPr>
        <w:t>E. 11</w:t>
      </w:r>
    </w:p>
    <w:p>
      <w:r>
        <w:t>a. En l’espèce, quoique 18 points sur 18 en faveur d’une fibromyalgie ont été recensés par l’experte rhumatologue, les experts apparaissent n’avoir guère reconnu de gravité à cette pathologie, par définition sans substrat organique, en considération du fait à cet égard non pertinent qu’elle était secondaire aux co- morbidités de la recourante. Il importe que les interactions entre les différentes affections dont souffre la recourante sur les plans somatique et psychique soient mieux appréhendées et que sa fibromyalgie, évaluée à son juste poids, s’intègre dans une approche globale de ses pathologies, notamment comme facteur d’affaiblissement de ses ressources, à évaluer par ailleurs plus attentivement. À ce dernier égard – et d’autant plus qu’à défaut d’atteintes à la santé, la recourante travaillerait à 80 % (et non à 50 %) et donc qu’on ne saurait lui objecter que tant qu’elle a une capacité de travail de 50 %, elle n’a aucune incapacité de gain et qu’il n’y a pas lieu d’évoquer des mesures d’ordre professionnel –, il faut clarifier la question (voire dissiper la contradiction paraissant l’entourer dans le rapport d’expertise) d’un accroissement de ressources que la recourante pourrait tirer d’un programme de réentrainement au travail, voire de mesures de réadaptation professionnelle. Il s’agit aussi de pousser plus loin l’examen de cohérence des indicateurs déduits de la « gravité fonctionnelle » au regard de ceux liés au</w:t>
      </w:r>
    </w:p>
    <w:p>
      <w:r>
        <w:t>A/783/2015 - 25/26 - comportement de la recourante dans les divers domaines de sa vie, y compris de ses travaux habituels (autrement dits de ses tâches ménagères). Il s’impose donc que l’expertise pluridisciplinaire ayant servi de base à la prise de la décision attaquée soit complétée dans ce sens. b.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En l’occurrence, rien n’apparaît s’opposer à ce que les experts du BEM de Vevey ayant rendu le rapport d’expertise précité soient appelés à compléter leur appréciation de ce cas, et au besoin leurs investigations, dès lors qu’ils n’ont pas manifesté de prévention à l’endroit de la recourante et qu’ils ne pouvaient anticiper le changement de jurisprudence fondant la positon qu’adopte la chambre de céans. L’intimé reste néanmoins libre de mandater d’autres experts s’il l’estime plus opportun.</w:t>
      </w:r>
    </w:p>
    <w:p>
      <w:r>
        <w:rPr>
          <w:b/>
        </w:rPr>
        <w:t>E. 12</w:t>
      </w:r>
    </w:p>
    <w:p>
      <w:r>
        <w:t>Le recours doit donc être admis, la décision attaquée annulée et la cause renvoyée à l’intimé pour instruction complémentaire au sens des considérants et nouvelle décision. La procédure n'étant pas gratuite, en dérogation à l’art. 61 let. a LPGA (art. 69 al. 1bis phr. 1 LAI), il y a lieu de condamner l’intimé au paiement d'un émolument, arrêté en l’espèce à CHF 200.- (art. 69 al. 1bis phr. 2 in fine LAI). * * * * * *</w:t>
      </w:r>
    </w:p>
    <w:p>
      <w:r>
        <w:t>A/783/2015 - 26/26 -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