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ATAS/364/2015 vom 19. Mai 2015</w:t>
      </w:r>
    </w:p>
    <w:p>
      <w:r>
        <w:t>GE Cour de justice, 2015-05-19, FR</w:t>
      </w:r>
    </w:p>
    <w:p>
      <w:r>
        <w:rPr>
          <w:b/>
        </w:rPr>
        <w:t xml:space="preserve">Quelle: </w:t>
      </w:r>
      <w:r>
        <w:t>https://mcp.opencaselaw.ch/entscheid/ge_gerichte_ATAS_364_2015</w:t>
      </w:r>
    </w:p>
    <w:p>
      <w:r>
        <w:t>FR: GE_GERICHTE ATAS/364/2015 du 19 mai 2015</w:t>
      </w:r>
    </w:p>
    <w:p>
      <w:r>
        <w:t>IT: GE_GERICHTE ATAS/364/2015 del 19 maggio 2015</w:t>
      </w:r>
    </w:p>
    <w:p>
      <w:pPr>
        <w:pStyle w:val="Heading2"/>
      </w:pPr>
      <w:r>
        <w:t>Erwägungen</w:t>
      </w:r>
    </w:p>
    <w:p>
      <w:r>
        <w:rPr>
          <w:b/>
        </w:rPr>
        <w:t>E. 1</w:t>
      </w:r>
    </w:p>
    <w:p>
      <w:r>
        <w:t>Dit que le présent recours est une demande de remise d’une obligation de restituer des prestations perçues à tort.</w:t>
      </w:r>
    </w:p>
    <w:p>
      <w:r>
        <w:rPr>
          <w:b/>
        </w:rPr>
        <w:t>E. 2</w:t>
      </w:r>
    </w:p>
    <w:p>
      <w:r>
        <w:t>Le déclare irrecevable pour raison de compétence.</w:t>
      </w:r>
    </w:p>
    <w:p>
      <w:r>
        <w:rPr>
          <w:b/>
        </w:rPr>
        <w:t>E. 3</w:t>
      </w:r>
    </w:p>
    <w:p>
      <w:r>
        <w:t>Le transmet au Service des prestations complémentaires pour instruction de la demande de remise et décision.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Sylvie SCHNEWLIN</w:t>
      </w:r>
    </w:p>
    <w:p>
      <w:r>
        <w:t>Le président :</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