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ATAS/363/2023 vom 4. Mai 2023</w:t>
      </w:r>
    </w:p>
    <w:p>
      <w:r>
        <w:t>GE Cour de justice, 2023-05-04, FR</w:t>
      </w:r>
    </w:p>
    <w:p>
      <w:r>
        <w:rPr>
          <w:b/>
        </w:rPr>
        <w:t xml:space="preserve">Quelle: </w:t>
      </w:r>
      <w:r>
        <w:t>https://mcp.opencaselaw.ch/entscheid/ge_gerichte_ATAS_363_2023</w:t>
      </w:r>
    </w:p>
    <w:p>
      <w:r>
        <w:t>FR: GE_GERICHTE ATAS/363/2023 du 4 mai 2023</w:t>
      </w:r>
    </w:p>
    <w:p>
      <w:r>
        <w:t>IT: GE_GERICHTE ATAS/363/2023 del 4 maggio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L'art. 78 LPGA ‒ applicable en vertu de l’art. 1 al. 1 LAA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1.3</w:t>
      </w:r>
    </w:p>
    <w:p>
      <w:r>
        <w:t>L'autorité au sens de l'art. 78 al. 2 LPGA est déterminée dans les lois spéciales (ATF 133 V 14 consid. 5 ; Alexis OVERNEY in Commentaire romand de la LPGA, 2018, n. 46 ad art. 78 LPGA).</w:t>
      </w:r>
    </w:p>
    <w:p>
      <w:r>
        <w:rPr>
          <w:b/>
        </w:rPr>
        <w:t>E. 1.4</w:t>
      </w:r>
    </w:p>
    <w:p>
      <w:r>
        <w:t>En matière d'assurance-accidents, l'art. 100 LAA ‒ qui a trait à la responsabilité envers les assurés et les tiers ‒ prévoit que les demandes de réparation au sens de l’art. 78 LPGA doivent être présentées à l’assureur, qui statue par décision. La caisse rend donc une décision sur réclamation de l’assuré (arrêts du Tribunal fédéral 9C_214/2017 du 2 février 2018 consid. 3.1 et 9C_245/2016 du 17 mai 2016 consid. 8).</w:t>
      </w:r>
    </w:p>
    <w:p>
      <w:r>
        <w:rPr>
          <w:b/>
        </w:rPr>
        <w:t>E. 1.5</w:t>
      </w:r>
    </w:p>
    <w:p>
      <w:r>
        <w:t>Contre cette décision, le recours à la Chambre des assurances sociales est directement ouvert (art. 56ss LPGA ; arrêts du Tribunal fédéral 8C_162/2010 consid. 5.2 ; 9C_214/2017 du 2 février 2018 consid. 3.1). La Chambre de céans est dès lors compétente pour statuer sur le recours.</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recours a valablement été interjeté dans le délai de 30 jours (art. 60 LPGA) dans les forme et contenu prescrits par l'art. 61 let. b LPGA, par une personne directement visée par la décision litigieuse (art. 59 LPGA). Il est par conséquent recevable.</w:t>
      </w:r>
    </w:p>
    <w:p>
      <w:r>
        <w:rPr>
          <w:b/>
        </w:rPr>
        <w:t>E. 4</w:t>
      </w:r>
    </w:p>
    <w:p>
      <w:r>
        <w:t>Le litige porte sur la responsabilité de l’intimée au sens de l’art. 100 LAA et 78 LPGA à titre de réparation du dommage que la recourante estime avoir subi.</w:t>
      </w:r>
    </w:p>
    <w:p>
      <w:r>
        <w:rPr>
          <w:b/>
        </w:rPr>
        <w:t>E. 5</w:t>
      </w:r>
    </w:p>
    <w:p>
      <w:r>
        <w:t>A/2928/2022 - 7/12 -</w:t>
      </w:r>
    </w:p>
    <w:p>
      <w:r>
        <w:rPr>
          <w:b/>
        </w:rPr>
        <w:t>E. 5.1</w:t>
      </w:r>
    </w:p>
    <w:p>
      <w:r>
        <w:t>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l'art. 11 de la loi fédérale sur l'assurance-invalidité du 19 juin 1959 (LAI - RS 831.20) ‒ en vigueur dès le 1er janvier 1979 (RO 1978 391 418), abrogé avec effet au 1er janvier 2012 (RO 2011 5659) ‒, l'art. 6 al. 3 de la loi fédérale sur l'assurance-accidents du 20 mars 1981 (LAA - RS 832.20) ou encore l'art. 18 al. 6 de la loi fédérale sur l'assurance militaire du 19 juin 1992 (LAM - RS 833.1 ; ATF 133 V 14 consid. 5 ; ATAS/635/2013 du 26 juin 2013 consid. 5a).</w:t>
      </w:r>
    </w:p>
    <w:p>
      <w:r>
        <w:rPr>
          <w:b/>
        </w:rPr>
        <w:t>E. 5.2</w:t>
      </w:r>
    </w:p>
    <w:p>
      <w:r>
        <w:t>L'art. 3 al. 1 LRCF ‒ auquel renvoie l'art. 78 al. 4 LPGA ‒ consacre une responsabilité primaire, exclusive et causale de l'État, en ce sens que le tiers lésé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(ATF 148 II 73 consid. 3.1).</w:t>
      </w:r>
    </w:p>
    <w:p>
      <w:r>
        <w:rPr>
          <w:b/>
        </w:rPr>
        <w:t>E. 5.3</w:t>
      </w:r>
    </w:p>
    <w:p>
      <w:r>
        <w:t>La condition de l'illicéité au sens de l'art. 3 al. 1 LRCF suppose la violation par l'État,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l'État. 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(ATF 148 II 73 consid. 3.2).</w:t>
      </w:r>
    </w:p>
    <w:p>
      <w:r>
        <w:rPr>
          <w:b/>
        </w:rPr>
        <w:t>E. 5.3.1</w:t>
      </w:r>
    </w:p>
    <w:p>
      <w:r>
        <w:t>La violation de l'obligation de renseigner au sens de l'art. 27 LPGA est un acte illicite (ATAS/1263/2011 du 22 décembre 2011 consid. 6a). L'art. 27 LPGA prévoit que dans les limites de leur domaine de compétence, les assureurs et les organes d'exécution des diverses assurances sociales sont tenus de renseigner les personnes intéressées sur leurs droits et obligations (al. 1) et que</w:t>
      </w:r>
    </w:p>
    <w:p>
      <w:r>
        <w:t>A/2928/2022 - 8/12 - chacun a le droit d'être conseillé, en principe gratuitement, sur ses droits et obligations (al. 2, première phrase). Le devoir de conseils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8C_271/2022 du 11 novembre 2022 consid. 3.2.2).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de la Constitution fédérale de la Confédération suisse du 18 avril 1999 (Cst. - RS 101).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(arrêt du Tribunal fédéral 8C_271/2022 précité consid. 3.2.3).</w:t>
      </w:r>
    </w:p>
    <w:p>
      <w:r>
        <w:rPr>
          <w:b/>
        </w:rPr>
        <w:t>E. 5.4</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Le calcul du dommage procède donc d'une comparaison entre la situation patrimoniale actuelle et concrète du lésé et</w:t>
      </w:r>
    </w:p>
    <w:p>
      <w:r>
        <w:t>A/2928/2022 - 9/12 - celle qui aurait cours si l'événement dommageable ne s'était pas produit (ATF 148 II 73 consid. 8.3.2).</w:t>
      </w:r>
    </w:p>
    <w:p>
      <w:r>
        <w:rPr>
          <w:b/>
        </w:rPr>
        <w:t>E. 5.5</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En cette matière, la jurisprudence n'exige pas une preuve stricte. Il suffit que le juge parvienne à la conviction qu'une vraisemblance prépondérante plaide pour un certain cours des événements (ATF 148 II 73 consid. 3.3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7.1</w:t>
      </w:r>
    </w:p>
    <w:p>
      <w:r>
        <w:t>En l'occurrence, la question est de savoir si l'on est en présence d'un acte illicite et, dans l'affirmative, d’un dommage, ainsi que d’un lien de causalité entre cet acte et le dommage.</w:t>
      </w:r>
    </w:p>
    <w:p>
      <w:r>
        <w:rPr>
          <w:b/>
        </w:rPr>
        <w:t>E. 7.2</w:t>
      </w:r>
    </w:p>
    <w:p>
      <w:r>
        <w:t>La recourante reproche en premier lieu à la SUVA une instruction lacunaire, dont elle estime qu’elle a conduit – à tort – à la décision de mettre fin à sa prise en charge. Comme le fait remarquer à juste titre l’intimée, la décision du 30 septembre 2014 a été confirmée par la Cour de céans par arrêt du 16 mars 2015 entré en force. La Cour, lorsqu’elle a statué, a examiné le dossier dans le détail et n’a constaté aucune lacune d’instruction. Il n’y a donc pas lieu d’y revenir une nouvelle fois ici. La légalité d’une décision entrée en force ne saurait être revue par le biais d’une procédure en réparation du dommage.</w:t>
      </w:r>
    </w:p>
    <w:p>
      <w:r>
        <w:rPr>
          <w:b/>
        </w:rPr>
        <w:t>E. 7.3</w:t>
      </w:r>
    </w:p>
    <w:p>
      <w:r>
        <w:t>La recourante impute ensuite à la SUVA une violation de l'art. 27 LPGA. L’intimée aurait failli à son devoir de l’informer, entraînant ainsi le dépôt tardif de sa demande de prestations auprès de l’assurance-invalidité. La question de savoir si la SUVA a violé son obligation de renseigner en n’avisant pas l’assurée qu’il lui fallait déposer une demande de prestations auprès de l’assurance-invalidité peut rester ouverte. En effet, la demande en réparation apparaît quoi qu’il en soit tardive sur ce point, puisque, selon l’art. 20 al. 1 LRCF auquel renvoie l’art. 78 al. 4 LPGA, la responsabilité de l’assureur s’éteint si le lésé n’introduit pas sa demande de dommages et intérêts ou d’indemnités dans</w:t>
      </w:r>
    </w:p>
    <w:p>
      <w:r>
        <w:t>A/2928/2022 - 10/12 - l’année à compter du jour où il a eu connaissance du dommage. Il s’agit-là d’un délai de péremption et non de prescription qui ne peut être interrompu, mais uniquement sauvegardé par le dépôt en temps utile de la demande. L’OAI ayant rendu son projet d’acceptation de rente le 26 septembre 2016 et sa décision le 23 novembre 2016, l’assurée a eu connaissance du fait que sa demande était considérée comme tardive à ce moment-là. Dès lors, la demande en réparation, déposée postérieurement au 23 novembre 2017 est manifestement tardive.</w:t>
      </w:r>
    </w:p>
    <w:p>
      <w:r>
        <w:rPr>
          <w:b/>
        </w:rPr>
        <w:t>E. 7.4</w:t>
      </w:r>
    </w:p>
    <w:p>
      <w:r>
        <w:t>La recourante fait également grief à l’intimée d’avoir retenu à tort qu’elle avait consulté en premier lieu le Dr C______ et non la Dre B______, imputant ainsi le certificat médical établi le 30 novembre 2012 au mauvais médecin. La Cour de céans constate cependant que la confusion sur l’auteur du certificat médical initial importe peu. En effet, une telle erreur ne saurait, quoi qu’il en soit, être constitutive d’un acte illicite susceptible de causer à l’assurée un dommage. En l’occurrence, le certificat du 30 novembre 2012 ne mentionnant pas d’atteinte psychique (les diagnostics retenus sont ceux de cervicalgie et omalgie post- traumatiques), on ne voit pas en quoi l’identité du médecin aurait pu avoir une incidence sur le fait que les autorités judiciaires ont considéré par la suite, dans le litige opposant l’assurée à la fondation de prévoyance professionnelle, qu’aucun médecin n’a fait état d’une incapacité de travail pour motifs psychologiques jusqu’au 6 décembre 2012. Là encore, aucun acte illicite ne peut être retenu à la charge de l’intimée.</w:t>
      </w:r>
    </w:p>
    <w:p>
      <w:r>
        <w:rPr>
          <w:b/>
        </w:rPr>
        <w:t>E. 7.5</w:t>
      </w:r>
    </w:p>
    <w:p>
      <w:r>
        <w:t>Dans un quatrième moyen, l’assurée reproche à la SUVA de n’avoir réglé une facture de la Dre D______ pour la période du 30 mai au 14 juin 2013 qu’en date du 9 avril 2019 seulement. Cela aurait eu selon elle pour conséquences, d’une part, que la Dre D______ a mis un terme à son suivi médical prématurément, d’autre part, que cette interruption de suivi a conduit les autorités judiciaires à conclure de manière erronée à une rémission de son état de santé psychique. En premier lieu, on relèvera qu’aucune pièce ne confirme que la Dre D______ a mis un terme au suivi de l’assurée uniquement en raison du non-paiement de la facture en cause. Même si tel était le cas, il était loisible à l’assurée de poursuivre le traitement auprès d’un autre médecin-psychiatre. D’ailleurs, la Dre D______ a, en date du 28 novembre 2013, rédigé un rapport dans lequel elle indiquait que le médecin généraliste poursuivrait le suivi, mais qu’elle restait à disposition (pièce 354). Quoi qu’il en soit, le Tribunal fédéral, dans son arrêt du 19 février 2019 (9C_841/20148 op. cit, consid. 5), a nié l’existence d’une connexité matérielle, au motif qu’aucun médecin n’avait constaté une réduction de la capacité de travail pour troubles psychiques entre le 1er octobre et le 6 décembre 2012. Pour arriver à cette conclusion, notre Haute Cour, tout comme les instances précédentes, ne s’est pas seulement basée sur l’avis de la Dre D______, mais également sur celui de</w:t>
      </w:r>
    </w:p>
    <w:p>
      <w:r>
        <w:t>A/2928/2022 - 11/12 - plusieurs autres médecins. Tout comme le Bureau de la commission de surveillance, la Cour de céans souligne que l’argumentaire des instances judiciaires ne s’est ainsi pas basé exclusivement sur les documents signés par ce médecin. D’ailleurs, la recourante n’allègue pas qu'un médecin aurait constaté, à l'occasion d'observations effectuées entre le 1er octobre et le 6 décembre 2012, que sa capacité de travail aurait été réduite en raison d'affections psychiques survenues durant cette période. Au contraire, dans sa demande du 14 novembre 2017, elle indiquait que l'incapacité de travail d'origine psychique avait débuté en mars 2013 et perduré jusqu'en novembre 2013, pour resurgir dès le 4 juin 2014 de manière durable. Pour le surplus, on rappellera que le non-paiement des honoraires par la SUVA n’autorisait pas la Dre D______ à refuser à l’assurée l’accès à son dossier médical. C’est précisément la raison pour laquelle la Commission de surveillance l’a sanctionnée. Dès lors, le paiement tardif par la SUVA n’est pas en lien de causalité avec le séquestre du dossier par la praticienne et l’éventualité que l’assurée ait été dans l’impossibilité de défendre ses intérêts correctement. Quant à une éventuelle diffamation au sens du droit pénal, on n’en voit pas trace de la part de l’intimée.</w:t>
      </w:r>
    </w:p>
    <w:p>
      <w:r>
        <w:rPr>
          <w:b/>
        </w:rPr>
        <w:t>E. 7.6</w:t>
      </w:r>
    </w:p>
    <w:p>
      <w:r>
        <w:t>En l’absence du moindre acte illicite, il apparaît inutile d’examiner s’il y a bel et bien eu dommage et lien de causalité.</w:t>
      </w:r>
    </w:p>
    <w:p>
      <w:r>
        <w:rPr>
          <w:b/>
        </w:rPr>
        <w:t>E. 8</w:t>
      </w:r>
    </w:p>
    <w:p>
      <w:r>
        <w:t>Eu égard aux considérations qui précèdent, la responsabilité de la SUVA n’est pas engagée et la demande en réparation formée doit être considérée comme manifestement infondée.</w:t>
      </w:r>
    </w:p>
    <w:p>
      <w:r>
        <w:rPr>
          <w:b/>
        </w:rPr>
        <w:t>E. 9</w:t>
      </w:r>
    </w:p>
    <w:p>
      <w:r>
        <w:t>La recourante, qui succombe, n’a pas droit à des dépens (art. 61 let. g LPGA a contrario).</w:t>
      </w:r>
    </w:p>
    <w:p>
      <w:r>
        <w:rPr>
          <w:b/>
        </w:rPr>
        <w:t>E. 10</w:t>
      </w:r>
    </w:p>
    <w:p>
      <w:r>
        <w:t>Pour le surplus, la procédure est gratuite (art. 61 let. fbis LPGA a contrario).</w:t>
      </w:r>
    </w:p>
    <w:p>
      <w:r>
        <w:t>A/2928/2022 - 12/12 -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