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ATAS/363/2021 vom 13. April 2021</w:t>
      </w:r>
    </w:p>
    <w:p>
      <w:r>
        <w:t>GE Cour de justice, 2021-04-13, FR</w:t>
      </w:r>
    </w:p>
    <w:p>
      <w:r>
        <w:rPr>
          <w:b/>
        </w:rPr>
        <w:t xml:space="preserve">Quelle: </w:t>
      </w:r>
      <w:r>
        <w:t>https://mcp.opencaselaw.ch/entscheid/ge_gerichte_ATAS_363_2021</w:t>
      </w:r>
    </w:p>
    <w:p>
      <w:r>
        <w:t>FR: GE_GERICHTE ATAS/363/2021 du 13 avril 2021</w:t>
      </w:r>
    </w:p>
    <w:p>
      <w:r>
        <w:t>IT: GE_GERICHTE ATAS/363/2021 del 13 aprile 2021</w:t>
      </w:r>
    </w:p>
    <w:p>
      <w:pPr>
        <w:pStyle w:val="Heading2"/>
      </w:pPr>
      <w:r>
        <w:t>Erwägungen</w:t>
      </w:r>
    </w:p>
    <w:p>
      <w:r>
        <w:rPr>
          <w:b/>
        </w:rPr>
        <w:t>E. 25</w:t>
      </w:r>
    </w:p>
    <w:p>
      <w:r>
        <w:t>septembre 2020 (loi COVID-19 – RS 818.102), le préavis, en dérogation à l’art. 36 al. 1 LACI, doit être renouvelé lorsque la réduction de l’horaire de travail dure plus de six mois. Cette disposition est entrée en vigueur avec effet rétroactif au 1er septembre 2020 (RO 2021 153). En admettant le recours dans le sens que le principe à une indemnité en cas de RHT est ouvert dès le 1er septembre 2020, il résulte de par la loi applicable que la période couverte par le préavis durait jusqu’au</w:t>
      </w:r>
    </w:p>
    <w:p>
      <w:r>
        <w:rPr>
          <w:b/>
        </w:rPr>
        <w:t>E. 28</w:t>
      </w:r>
    </w:p>
    <w:p>
      <w:r>
        <w:t>février 2021. 9. En conséquence, le recours sera admis, la décision litigieuse annulée et il sera dit que la recourante a droit à l’indemnité en cas de RHT, pour une durée de six mois,</w:t>
      </w:r>
    </w:p>
    <w:p>
      <w:r>
        <w:t>A/3524/2020 - 13/14 - à partir du 1er septembre 2020, sous réserve de l’examen par la caisse de chômage des conditions conformément à l’art. 39 LACI. La recourante, représentée par un conseil, obtient ainsi gain de cause, de sorte qu’elle a droit à une indemnité à titre de participation à ses frais et dépens, que la chambre de céans fixera à CHF 2'000.- (art. 61 let. g LPGA ; art. 89H al. 3 de la loi sur la procédure administrative du 12 septembre 1985 – LPA ; RS E 5 10 ; art. 6 du règlement sur les frais, émoluments et indemnités en procédure administrative du</w:t>
      </w:r>
    </w:p>
    <w:p>
      <w:r>
        <w:rPr>
          <w:b/>
        </w:rPr>
        <w:t>E. 30</w:t>
      </w:r>
    </w:p>
    <w:p>
      <w:r>
        <w:t>juillet 1986 ; RFPA - RS E 5 10.03). Pour le surplus, la procédure est gratuite (art. 61 let. a LPGA, dans sa version en vigueur jusqu’au 31 décembre 2020 en lien avec l’art. 1 al. 1 LACI). * * * * * *</w:t>
      </w:r>
    </w:p>
    <w:p>
      <w:r>
        <w:t>A/3524/2020 - 14/14 -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