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ATAS/363/2018 vom 20. September 2012</w:t>
      </w:r>
    </w:p>
    <w:p>
      <w:r>
        <w:t>GE Cour de justice, 2012-09-20, FR</w:t>
      </w:r>
    </w:p>
    <w:p>
      <w:r>
        <w:rPr>
          <w:b/>
        </w:rPr>
        <w:t xml:space="preserve">Quelle: </w:t>
      </w:r>
      <w:r>
        <w:t>https://mcp.opencaselaw.ch/entscheid/ge_gerichte_ATAS_363_2018</w:t>
      </w:r>
    </w:p>
    <w:p>
      <w:r>
        <w:t>FR: GE_GERICHTE ATAS/363/2018 du 20 septembre 2012</w:t>
      </w:r>
    </w:p>
    <w:p>
      <w:r>
        <w:t>IT: GE_GERICHTE ATAS/363/2018 del 20 settembre 2012</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w:t>
      </w:r>
    </w:p>
    <w:p>
      <w:r>
        <w:t>A/550/2018 - 4/6 -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Sa compétence pour juger du cas d’espèce est ainsi établie.</w:t>
      </w:r>
    </w:p>
    <w:p>
      <w:r>
        <w:rPr>
          <w:b/>
        </w:rPr>
        <w:t>E. 2</w:t>
      </w:r>
    </w:p>
    <w:p>
      <w:r>
        <w:t>Il s'agit en premier lieu d'examiner la recevabilité du recours.</w:t>
      </w:r>
    </w:p>
    <w:p>
      <w:r>
        <w:rPr>
          <w:b/>
        </w:rPr>
        <w:t>E. 3</w:t>
      </w:r>
    </w:p>
    <w:p>
      <w:r>
        <w:t>L'art. 61 LPGA prévoit que la procédure devant la Chambre des assurances sociales est réglée par le droit cantonal, sous réserve que celui-ci respecte les exigences minimales requises par la LPGA. Les décisions sur opposition et celles contre lesquelles la voie de l’opposition n’est pas ouverte sont sujettes à recours dans les 30 jours suivant la notification de la décision litigieuse (art. 56 et 60 LPGA et art. 63 al. 1 let. a de la loi sur la procédure administrative du 12 septembre 1985 - LPA; RS E 5 10). Les art. 38 à 41 LPGA sont applicables par analogie (art. 60 al. 2 LPGA). 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17 LPA). Le délai légal ne peut être prolongé (art. 40 al. 1 LPGA et 16 al. 1 LPA).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André GRISEL, Traité de droit administratif, p. 876 et la jurisprudence citée ; Blaise KNAPP, Précis de droit administratif, 4ème éd. 1991, n. 704 p. 153 ; Alfred KÖLZ/ Isabelle HÄNER/ Martin BERTSCHI, Verwaltungsverfahren und Verwaltungsrechtspflege des Bundes, 3ème éd. 2013, n. 577 p. 201). Lorsque la notification intervient par pli recommandé, elle est réputée parfaite lorsque l'intéressé ou toute personne qui le représente ou dont on peut légitimement</w:t>
      </w:r>
    </w:p>
    <w:p>
      <w:r>
        <w:t>A/550/2018 - 5/6 - penser qu'elle le représente (cf. ATF 110 V 37 consid. 3) a reçu le pli ou l'a retiré au guichet postal en cas d'absence lors du passage du facteur (arrêt du Tribunal fédéral des assurances C 24/05 du 11 avril 2005 consid. 4.1).</w:t>
      </w:r>
    </w:p>
    <w:p>
      <w:r>
        <w:rPr>
          <w:b/>
        </w:rPr>
        <w:t>E. 4</w:t>
      </w:r>
    </w:p>
    <w:p>
      <w:r>
        <w:t>L'art. 41 LPGA permet une restitution de délai au requérant empêché sans sa faute d'agir dans le délai fixé, pour autant cependant que, dans les trente jours à compter de celui où l'empêchement a cessé, le requérant ait déposé une demande motivée de restitution et ait accompli l'acte omis. Par empêchement non fautif d'accomplir un acte de procédure, il faut comprendre non seulement l'impossibilité objective ou la force majeure,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 arrêt du Tribunal fédéral 8C_767/2008 du 12 janvier 2009, consid. 5.3.1).</w:t>
      </w:r>
    </w:p>
    <w:p>
      <w:r>
        <w:rPr>
          <w:b/>
        </w:rPr>
        <w:t>E. 5</w:t>
      </w:r>
    </w:p>
    <w:p>
      <w:r>
        <w:t>En l’espèce, il est vrai que la seconde décision est pratiquement identique à celle émise au début du mois de janvier 2018. Il n’en demeure pas moins que la date de la décision a été modifiée et que l’intimée n’allègue pas avoir accompagné cette seconde décision d’un courrier soulignant à l’intéressée que ce nouvel acte ne faisait pas démarrer un nouveau délai de recours. Dans ces circonstances, la recourante pouvait en toute bonne foi présumer que cette nouvelle décision annulait et remplaçait la première et qu’un nouveau délai de recours débutait. Par son attitude ambiguë, l’intimée a induit la recourante en erreur. Cette erreur est toutefois parfaitement excusable au vu des circonstances, de sorte qu’une restitution du délai de recours est en l’occurrence exceptionnellement admissible. Au vu des considérations qui précèdent, le recours est déclaré recevable. La suite de la procédure est réservée.</w:t>
      </w:r>
    </w:p>
    <w:p>
      <w:r>
        <w:t>A/550/2018 - 6/6 - PAR CES MOTIFS, LA CHAMBRE DES ASSURANCES SOCIALES : Statuant sur incident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