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ATAS/363/2010 vom 14. April 2010</w:t>
      </w:r>
    </w:p>
    <w:p>
      <w:r>
        <w:t>GE Cour de justice, 2010-04-14, FR</w:t>
      </w:r>
    </w:p>
    <w:p>
      <w:r>
        <w:rPr>
          <w:b/>
        </w:rPr>
        <w:t xml:space="preserve">Quelle: </w:t>
      </w:r>
      <w:r>
        <w:t>https://mcp.opencaselaw.ch/entscheid/ge_gerichte_ATAS_363_2010</w:t>
      </w:r>
    </w:p>
    <w:p>
      <w:r>
        <w:t>FR: GE_GERICHTE ATAS/363/2010 du 14 avril 2010</w:t>
      </w:r>
    </w:p>
    <w:p>
      <w:r>
        <w:t>IT: GE_GERICHTE ATAS/363/2010 del 14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A/789/2009 - 9/16 -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recours est recevable (art. 56 à 60 LPGA).</w:t>
      </w:r>
    </w:p>
    <w:p>
      <w:r>
        <w:rPr>
          <w:b/>
        </w:rPr>
        <w:t>E. 4</w:t>
      </w:r>
    </w:p>
    <w:p>
      <w:r>
        <w:t>Le litige porte sur le droit de la recourante à des prestations de l'assurance- invalidité, singulièrement sur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Les atteintes à la santé psychique peuvent, comme les atteintes physiques, entraîner une invalidité au sens de l'art. 4 al. 1er LAI en liaison avec l'art. 8 LPGA. Parmi ces atteintes à la santé psychique,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w:t>
      </w:r>
    </w:p>
    <w:p>
      <w:r>
        <w:t>A/789/2009 - 10/16 -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La reconnaissance de l'existence d'une atteinte à la santé psychique suppose la présence d'un diagnostic émanant d'un expert (psychiatre) s'appuyant lege artis sur les critères d'un système de classification reconnu (ATF 130 V 398 ss consid. 5.3 et consid. 6).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A/789/2009 - 11/16 -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 traitant, notamment qu’il</w:t>
      </w:r>
    </w:p>
    <w:p>
      <w:r>
        <w:t>A/789/2009 - 12/16 -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10</w:t>
      </w:r>
    </w:p>
    <w:p>
      <w:r>
        <w:t>En l'espèce, il s'agit tout d'abord de déterminer si la recourante présente ou non une atteinte à la santé invalidante sur la base des divers avis médicaux. A la lecture des rapports médicaux des médecins traitants (le Dr L_________, la Dresse M________, la Dresse P________ et la Dresse Q________), des médecins du SMR (la Dresse N________, la Dresse O________ et le Dr T________) et de l'expert (le Dr S________), des diagnostics similaires en ressortent: notamment un état dépressif récurrent/un trouble dépressif récurrent, une personnalité dépendante, des tendances agoraphobique/une agoraphobie, une dépendance à l'alcool/des troubles mentaux liés à l'alcool et des troubles de la personnalité émotionnellement labile. La divergence entre ces différents avis médicaux ne se situe pas au niveau</w:t>
      </w:r>
    </w:p>
    <w:p>
      <w:r>
        <w:t>A/789/2009 - 13/16 - des diagnostics, mais à celui des répercussions de ces atteintes à la santé sur la capacité de travail de la recourante. En effet, tandis que les médecins traitants de la recourante émettent un pronostic réservé voire mauvais et évaluent l'incapacité de travail à 50%, 60% et même à 100%, les médecins du SMR évaluent l'incapacité de travail à 0%. Quant à l'expert, il retient une incapacité de travail de 20% due aux tendances agoraphobiques, qui peuvent néanmoins disparaître. Il convient de rappeler que la Dresse O________ a rendu un rapport médical le 16 mars 2006 signé « Psychiatre FMH » alors qu’elle n’en avait pas le titre et qu’elle n’était pas autorisée à exercer en tant que médecin dépendant. Dans un arrêt du 31 août 2007 (I 65/07), le Tribunal fédéral a considéré qu’un rapport SMR signé par la Dresse O________ avec l’indication « Psychiatre FMH » ne pouvait se voir attribuer pleine valeur probante en raison d’une irrégularité d’ordre formel liée à l’utilisation d’un titre auquel ce médecin ne pouvait prétendre. Au moment de son examen, elle ne disposait pas d’une autorisation d’exercer une activité à titre de médecin dépendant puisque cette autorisation lui a été délivrée le 24 novembre 2006 par le Département vaudois de la santé et de l’action sociale. Le Tribunal fédéral a estimé qu’indépendamment des compétences professionnelles propres de la Dresse O________,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La situation étant similaire au cas précité, il convient d’en conclure que la valeur probante de l’appréciation faite par la Dresse O________ est affaiblie. Plusieurs des avis médicaux envisagent une amélioration grâce à des mesures médicales. L'état dépressif de la recourante pourrait ainsi être amélioré grâce à la prise régulière d'antidépresseurs et le suivi par un spécialiste. Quant aux problèmes de la recourante liés à l'alcool, dépendance qui entraîne des troubles mentaux selon certains des médecins consultés, le Tribunal constate qu'aucun traitement n'a jamais été prescrit. Il ressort des diverses anamnèses que des facteurs psychosociaux et socioculturels passablement négatifs ont imprégné la vie l'assurée. En effet, elle déclare avoir été violée durant son enfance, poussée à se prostituer par sa sœur, mariée à 15 ans, mère d'un enfant issu d'une relation extraconjugale à 16 ans, battue par son premier mari alcoolique avec lequel elle a eu trois enfants, divorcée une première fois en 1995, remariée à un homme invalide ayant des problèmes d'alcool, mère de trois enfants de son second mari, divorcée à nouveau en 2001. Toutefois, selon la jurisprudence du Tribunal fédéral, ces facteurs socioculturels ne suffisent pas à conclure à une invalidité découlant d'une atteinte psychique.</w:t>
      </w:r>
    </w:p>
    <w:p>
      <w:r>
        <w:t>A/789/2009 - 14/16 - Au regard des principes jurisprudentiels précités, l'expertise psychiatrique réalisée par le Dr S________ semble, de prime abord, avoir pleine valeur probante. En effet, l'expert a procédé à une anamnèse complète, il a relevé les plaintes et descriptions subjectives de l'assurée, il a pris en compte les divers rapports médicaux tant des médecins traitants de l'assurée que des médecins-conseils du SMR, il s'est appuyé lege artis sur les critères de l'échelle d'autoévaluation Hamilton, de l'échelle psychopathologique de l'AMDP, de l'EDR et de la Classification Internationale des Maladies, systèmes de classification reconnus. Ainsi, le Dr S________ a conclu a une incapacité de travail de 20%, alternativement 20% de diminution de rendement.</w:t>
      </w:r>
    </w:p>
    <w:p>
      <w:r>
        <w:rPr>
          <w:b/>
        </w:rPr>
        <w:t>E. 11</w:t>
      </w:r>
    </w:p>
    <w:p>
      <w:r>
        <w:t>Dès lors, il s'agit de déterminer si le rapport du 26 août 2009 de la Dresse Q________ et l'avis médical du Dr T________ du 1er octobre 2009 sont de nature à remettre en cause les conclusions du Dr S________.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Dans son rapport du 26 août 2009, la Dresse Q________ a indiqué que l'assurée a présenté une péjoration de sa dépression au cours des 16 derniers mois, et surtout des débordements par l'angoisse suite au retrait de la garde de sa fille cadette, retrait ordonné le 5 juin 2009. La recourante a ensuite été hospitalisée durant l'été 2009, suite à un abus médicamenteux à but suicidaire. Il découle du rapport de la Dresse Q________ que la situation de la recourante a commencé à se péjorer dès la fin avril 2008, c'est-à-dire antérieurement tant à l'expertise menée par le Dr S________ le 4 octobre 2008 qu'à la décision litigieuse du 9 février 2009. Le Tribunal de céans souligne que la recourante a exercé seule la garde de sa fille cadette à partir de l'automne 2001 et, ce, durant plusieurs années avant qu'une première mesure de curatelle d'assistance éducative soit ordonnée en août 2007. Quant au retrait de la garde de sa fille, événement qui a amené des débordements par l'angoisse chez la recourante, l'ordonnance du Tribunal tutélaire est certes datée du 5 juin 2009, mais découle de faits survenus avant cette date. Force est de constater que les avis médicaux divergent quant aux conséquences des atteintes à la santé sur la capacité de travail de la recourante et que certains éléments n'ont pas été pris en compte par l'intimé dans la décision litigieuse. L’on</w:t>
      </w:r>
    </w:p>
    <w:p>
      <w:r>
        <w:t>A/789/2009 - 15/16 - ignore en particulier quelle a été l’importance de la péjoration de l’état de santé entre l’expertise du 4 octobre 2008 et la décision du 9 février 2009.</w:t>
      </w:r>
    </w:p>
    <w:p>
      <w:r>
        <w:rPr>
          <w:b/>
        </w:rPr>
        <w:t>E. 12</w:t>
      </w:r>
    </w:p>
    <w:p>
      <w:r>
        <w:t>En l'état actuel du dossier, le Tribunal n'est pas en mesure de tirer des conclusions définitives quant aux atteintes à la santé de la recourante et à leurs répercussions sur sa capacité de travail. Le dossier sera par conséquent renvoyé à l'intimé pour instruction complémentaire et nouvelle décision.</w:t>
      </w:r>
    </w:p>
    <w:p>
      <w:r>
        <w:rPr>
          <w:b/>
        </w:rPr>
        <w:t>E. 13</w:t>
      </w:r>
    </w:p>
    <w:p>
      <w:r>
        <w:t>La recourante a droit à une indemnité à titre de dépens, fixée en l'espèce à 1'700 fr. (art. 89H LPA).</w:t>
      </w:r>
    </w:p>
    <w:p>
      <w:r>
        <w:rPr>
          <w:b/>
        </w:rPr>
        <w:t>E. 14</w:t>
      </w:r>
    </w:p>
    <w:p>
      <w:r>
        <w:t>Un émolument de 500 fr. est mis à la charge de l'intimé, qui succombe (art. 69 al. 1 bis LAI).</w:t>
      </w:r>
    </w:p>
    <w:p>
      <w:r>
        <w:t>A/789/2009 - 16/16 -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