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ATAS/362/2023 vom 4. Mai 2023</w:t>
      </w:r>
    </w:p>
    <w:p>
      <w:r>
        <w:t>GE Cour de justice, 2023-05-04, FR</w:t>
      </w:r>
    </w:p>
    <w:p>
      <w:r>
        <w:rPr>
          <w:b/>
        </w:rPr>
        <w:t xml:space="preserve">Quelle: </w:t>
      </w:r>
      <w:r>
        <w:t>https://mcp.opencaselaw.ch/entscheid/ge_gerichte_ATAS_362_2023</w:t>
      </w:r>
    </w:p>
    <w:p>
      <w:r>
        <w:t>FR: GE_GERICHTE ATAS/362/2023 du 4 mai 2023</w:t>
      </w:r>
    </w:p>
    <w:p>
      <w:r>
        <w:t>IT: GE_GERICHTE ATAS/362/2023 del 4 maggio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A/1913/2022 - 5/12 -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En l’occurrence, si l’on considère l’écriture de l’assurée du 6 mai 2022 - adressée au Tribunal fédéral et transmise par ce dernier à la Cour de céans comme objet de sa compétence – comme un recours contre la décision sur l’opposition du</w:t>
      </w:r>
    </w:p>
    <w:p>
      <w:r>
        <w:rPr>
          <w:b/>
        </w:rPr>
        <w:t>E. 5</w:t>
      </w:r>
    </w:p>
    <w:p>
      <w:r>
        <w:t>Dans la mesure où, dans son écriture du 6 mai 2022, la recourante invoque deux nouveaux chocs au niveau de l’épaule gauche, en janvier 2016, puis en avril 2021, le litige porte sur la question de savoir si c’est à juste titre que l’intimée a refusé de prester pour le nouveau sinistre annoncé le 26 mai 2021 et survenu le 18 avril 2021. On rappellera, s’agissant de l’évènement, survenu le 2 janvier 2016, que, par décision du 8 mars 2016, la SUVA a refusé de prester. Cette décision étant entrée en force et la SUVA ayant refusé de la reconsidérer, il n’y a pas lieu d’y revenir ici.</w:t>
      </w:r>
    </w:p>
    <w:p>
      <w:r>
        <w:rPr>
          <w:b/>
        </w:rPr>
        <w:t>E. 6.1</w:t>
      </w:r>
    </w:p>
    <w:p>
      <w:r>
        <w:t>La recourante argue que l’atteinte de 2021 serait en lien de causalité avec l’évènement de 2012, ce que l’intimée conteste, rappelant qu’il a été établi par décisions entrées en force qu’il n’y avait plus de lien de causalité entre les troubles physiques encore présents au-delà du 31 août 2014 et l’évènement initial.</w:t>
      </w:r>
    </w:p>
    <w:p>
      <w:r>
        <w:rPr>
          <w:b/>
        </w:rPr>
        <w:t>E. 6.2</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6.3</w:t>
      </w:r>
    </w:p>
    <w:p>
      <w:r>
        <w:t>Le droit à des prestations découlant d'un accident assuré suppose d'abord, entre l'événement dommageable de caractère accidentel et l'atteinte à la santé, un</w:t>
      </w:r>
    </w:p>
    <w:p>
      <w:r>
        <w:t>A/1913/2022 - 6/12 -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6.4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rPr>
          <w:b/>
        </w:rPr>
        <w:t>E. 6.5</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w:t>
      </w:r>
    </w:p>
    <w:p>
      <w:r>
        <w:t>A/1913/2022 - 7/12 -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w:t>
      </w:r>
    </w:p>
    <w:p>
      <w:r>
        <w:t>A/1913/2022 - 8/12 -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9</w:t>
      </w:r>
    </w:p>
    <w:p>
      <w:r>
        <w:t>En l’espèce, ainsi que le fait remarquer l’intimée, il a été établi, par décisions de cette dernière confirmées par la Cour de céans le 16 mars 2015, que le lien de causalité entre l’évènement initial et les atteintes – tant somatiques que psychiques – avait été rompu le 31 août 2014. En l’occurrence, la recourante ne démontre aucunement l’existence vraisemblable d’un lien de causalité naturelle entre l’état pathologique de son épaule gauche et l’évènement initial. Au contraire, il ressort de ses explications que c’est un nouvel accident (décrit comme un choc sur l’épaule, après avoir trébuché dans les escaliers, en avril 2021), qui est à l’origine de la nouvelle atteinte, qui se trouve toucher à nouveau la même partie du corps, soit l’épaule gauche. Il est manifeste que l’on ne se trouve dès lors pas en présence d’une atteinte à la santé qui n’aurait pas été totalement guérie : ce n’est pas une même atteinte qui se manifeste à nouveau, mais une même partie du corps touchée par un nouvel accident. Il ne s’agit dès lors pas de modifications organiques qui auraient conduit à un état pathologique différent, puisqu’il y a eu intervention d’un facteur extérieur. Celui-ci est survenu en 2021, alors que la recourante n’était plus affiliée à l’intimée, ce que l’intéressée ne conteste d’ailleurs pas. Elle en a convenu en audience. Eu égard à ces considérations, c’est donc à juste titre que l’intimée a refusé de prester pour l’évènement annoncé en 2021.</w:t>
      </w:r>
    </w:p>
    <w:p>
      <w:r>
        <w:rPr>
          <w:b/>
        </w:rPr>
        <w:t>E. 10</w:t>
      </w:r>
    </w:p>
    <w:p>
      <w:r>
        <w:t>Ce que demande en réalité l’assurée, comme elle l’a expliqué en audience, c’est une révision de l’arrêt rendu par la Cour de céans en 2015. Elle soutient en effet qu’il a été à tort considéré qu’elle avait recouvré une pleine capacité de travail à compter de septembre 2014 – recte : que le lien de causalité avait été rompu à compter de cette date – et que des faits nouveaux permettraient de le démontrer. Ces nova, selon elle, consistent dans le fait que le rapport initial sur lequel se seraient fondés tous les intervenants a été signé par un médecin psychiatre et non par son médecin traitant, comme retenu de manière erronée par les autorités.</w:t>
      </w:r>
    </w:p>
    <w:p>
      <w:r>
        <w:t>A/1913/2022 - 9/12 -</w:t>
      </w:r>
    </w:p>
    <w:p>
      <w:r>
        <w:rPr>
          <w:b/>
        </w:rPr>
        <w:t>E. 10.1</w:t>
      </w:r>
    </w:p>
    <w:p>
      <w:r>
        <w:t>En vertu de l’art. 53 al. 1 LPGA, les décisions formellement passées en force sont soumises à révision si l’assuré ou l’assureur découvre subséquemment des faits nouveaux importants ou trouve des nouveaux moyens de preuve qui ne pouvaient être produits auparavant.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De la même manière, l'art. 80 let. b LPA prévoit qu’il y a lieu à révision lorsque, dans une affaire réglée par une décision définitive, il apparaît que des faits ou des moyens de preuve nouveaux et importants existent, que le recourant ne pouvait connaître ou invoquer dans la procédure précédente. Conformément à l’art. 81 al. 1 LPA, la demande de révision doit être adressée par écrit à la juridiction qui a rendu la décision dans les trois mois dès la découverte du motif de révision.</w:t>
      </w:r>
    </w:p>
    <w:p>
      <w:r>
        <w:rPr>
          <w:b/>
        </w:rPr>
        <w:t>E. 10.2</w:t>
      </w:r>
    </w:p>
    <w:p>
      <w:r>
        <w:t>La notion de faits ou moyens de preuve nouveaux s'apprécie de la même manière en cas de révision (procédurale) d'une décision administrative (art. 53 al. 1 LPGA) et de révision d'un jugement cantonal (art. 61 let. i LPGA ; ATF U 57/06 du 7 février 2007, consid. 3.1). Sont nouveaux au sens de cette disposition les faits qui n’étaient pas connus du requérant, malgré toute sa diligence, et qui se sont produits tant que, dans la procédure principale, des allégations de faits étaient encore recevables (ATF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 Kommentar zum Bundesgesetz über den Allgemeinen Teil des Sozialversicherungsrechts vom 6. Oktober 2000, Zurich 2003, n. 13 ad art. 53).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w:t>
      </w:r>
    </w:p>
    <w:p>
      <w:r>
        <w:t>A/1913/2022 - 10/12 - 3°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(ATF 134 IV 48 consid. 1.2 ; arrêts du Tribunal fédéral 4F_3/2007 du 27 juin 2007 ; 5A_382/2014 du 9 octobre 2014 consid. 4.1) ; les faits postérieurs qui se sont produits postérieurement à ce moment (les vrais faits nouveaux ou vrais nova echte Noven) sont expressément exclus (art. 328 al. 1 let. a in fine code de procédure civile du 19 décembre 2008 [CPC - RS 272]) ;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2.2 p. 275 s.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Ainsi, il ne suffit pas qu'une nouvelle expertise donne une appréciation différente des faits ; il faut bien plutôt des éléments de fait nouveaux, dont il résulte que les bases de la décision entreprise comportaient des défauts objectifs. En d'autres termes, les preuves concluantes, supposent aussi la réunion de cinq conditions : 1° elles doivent porter sur des faits antérieurs (pseudo-nova) ; 2° elles doivent être concluantes, c'est-à-dire propres à entraîner une modification du jugement dans un sens favorable au requérant ;</w:t>
      </w:r>
    </w:p>
    <w:p>
      <w:r>
        <w:t>A/1913/2022 - 11/12 - 3°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p. 276).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w:t>
      </w:r>
    </w:p>
    <w:p>
      <w:r>
        <w:rPr>
          <w:b/>
        </w:rPr>
        <w:t>E. 11</w:t>
      </w:r>
    </w:p>
    <w:p>
      <w:r>
        <w:t>En l’espèce, en faisant même abstraction du fait que l’assurée – si elle entendait véritablement demander, par le dépôt de sa déclaration de sinistre du 26 mai 2021, la révision de l’arrêt du 16 mars 2015 –, ne s’est adressée ni à la bonne instance, ni dans le délai utile de trois mois, ni dans les formes requises, force est de constater qu’elle n’invoque ni argument, ni fait, ni moyen de preuve nouveau. Elle se contente de reprendre les arguments déjà longuement développés dans la procédure judiciaire précédemment menée. Elle produit un document qui l'a déjà été dans ladite procédure. Qui plus est, ce document n’a pas participé de manière déterminante à la formation des décisions qu’elle conteste. En effet, comme le fait remarquer l’intimée, sa décision – tout comme l’arrêt de la Cour – se basait, principalement, sur l’examen multidisciplinaire réalisé au printemps 2014 par la Clinique romande de réadaptation. Il n'y a donc à l'évidence aucun motif de révision valable, de sorte que la demande de l'assurée – en tant qu’elle devrait être considérée comme une demande de révision de l'arrêt de la Cour du 16 mars 2015 – doit être déclarée irrecevable.</w:t>
      </w:r>
    </w:p>
    <w:p>
      <w:r>
        <w:rPr>
          <w:b/>
        </w:rPr>
        <w:t>E. 12</w:t>
      </w:r>
    </w:p>
    <w:p>
      <w:r>
        <w:t>Cela étant, il apparaît utile d'attirer l'attention de l'assurée sur le fait que, si elle continue à saisir la justice des mêmes arguments, sans autre élément de preuve à faire valoir à l'appui de ses prétentions, elle s'expose à une amende pour emploi abusif des procédures.</w:t>
      </w:r>
    </w:p>
    <w:p>
      <w:r>
        <w:t>A/1913/2022 - 12/12 -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