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ATAS/362/2021 vom 6. April 2021</w:t>
      </w:r>
    </w:p>
    <w:p>
      <w:r>
        <w:t>GE Cour de justice, 2021-04-06, FR</w:t>
      </w:r>
    </w:p>
    <w:p>
      <w:r>
        <w:rPr>
          <w:b/>
        </w:rPr>
        <w:t xml:space="preserve">Quelle: </w:t>
      </w:r>
      <w:r>
        <w:t>https://mcp.opencaselaw.ch/entscheid/ge_gerichte_ATAS_362_2021</w:t>
      </w:r>
    </w:p>
    <w:p>
      <w:r>
        <w:t>FR: GE_GERICHTE ATAS/362/2021 du 6 avril 2021</w:t>
      </w:r>
    </w:p>
    <w:p>
      <w:r>
        <w:t>IT: GE_GERICHTE ATAS/362/2021 del 6 aprile 2021</w:t>
      </w:r>
    </w:p>
    <w:p>
      <w:pPr>
        <w:pStyle w:val="Heading2"/>
      </w:pPr>
      <w:r>
        <w:t>Erwägungen</w:t>
      </w:r>
    </w:p>
    <w:p>
      <w:r>
        <w:rPr>
          <w:b/>
        </w:rPr>
        <w:t>E. 27</w:t>
      </w:r>
    </w:p>
    <w:p>
      <w:r>
        <w:t>octobre 2020 apparaît conforme au droit. L’intimé était ainsi fondé à sanctionner la recourante pour son absence à l’entretien de conseil. S’agissant de la quotité de la sanction, l’intimé a infligé la sanction maximale prévue par le barème du SECO en cas de non présentation, sans motif valable, à un entretien de conseil pour la première fois. Or, au vu des circonstances du cas d’espèce, une telle sanction apparaît sévère. Il y a en effet lieu de tenir compte, dans l’appréciation de la faute, du fait que la recourante prend ses obligations très au sérieux, ce qui a du reste été admis en audience par sa conseillère en personnel. Elle a certes fait preuve d’inattention en s’assoupissant après son repas de midi alors qu’elle avait un entretien de conseil téléphonique fixé à 14h00. En aucun cas toutefois, peut-on déduire de son comportement une légèreté, de l’indifférence ou un manque d’intérêt par rapport à ses obligations de chômeuse ou de bénéficiaire de prestations. Après l’entretien manqué, elle a immédiatement envoyé un courriel à sa conseillère en personnel afin de s’excuser et de résumer les différents points qui auraient dû être discutés lors de l’entretien. Ce courriel a été suivi d’un message vocal sur le téléphone de sa conseillère en personnel. Elle a par ailleurs tout de suite</w:t>
      </w:r>
    </w:p>
    <w:p>
      <w:r>
        <w:t>A/301/2021 - 10/11 - réagi à l’assignation envoyée le jour-même par la conseillère en personnel. Ces éléments dénotent une volonté claire de la recourante d’adopter un comportement en accord avec les devoirs généraux qui lui incombent en tant que bénéficiaire de l’assurance-chômage. S’ajoute à cela que le premier manquement reproché à l’intéressée est particulièrement léger au vu des explications apportées en audience par la recourante. En conséquence, la décision querellée sera réformée et la suspension fixée à cinq jours, soit le minimum prévu par le barème du SECO en cas d’absence injustifiée à un entretien de conseil pour la première fois. 10. Le recours doit être admis partiellement et la décision attaquée réformée dans le sens précité. La procédure est gratuite (art. 61 let. a LPGA, dans sa version en vigueur jusqu’au</w:t>
      </w:r>
    </w:p>
    <w:p>
      <w:r>
        <w:rPr>
          <w:b/>
        </w:rPr>
        <w:t>E. 31</w:t>
      </w:r>
    </w:p>
    <w:p>
      <w:r>
        <w:t>décembre 2020). Vu l’issue du litige, une indemnité de CHF 1'000.- sera accordée à la recourante, assistée d’un mandataire professionnellement qualifié (art. 61 let. g LPGA ; art. 6 du règlement sur les frais, émoluments et indemnités en procédure administrative du 30 juillet 1986 - RFPA - E 5 10.03), à charge de l’intimé. * * * * * *</w:t>
      </w:r>
    </w:p>
    <w:p>
      <w:r>
        <w:t>A/301/2021 - 11/11 -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