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ATAS/362/2019 vom 23. April 2019</w:t>
      </w:r>
    </w:p>
    <w:p>
      <w:r>
        <w:t>GE Cour de justice, 2019-04-23, FR</w:t>
      </w:r>
    </w:p>
    <w:p>
      <w:r>
        <w:rPr>
          <w:b/>
        </w:rPr>
        <w:t xml:space="preserve">Quelle: </w:t>
      </w:r>
      <w:r>
        <w:t>https://mcp.opencaselaw.ch/entscheid/ge_gerichte_ATAS_362_2019</w:t>
      </w:r>
    </w:p>
    <w:p>
      <w:r>
        <w:t>FR: GE_GERICHTE ATAS/362/2019 du 23 avril 2019</w:t>
      </w:r>
    </w:p>
    <w:p>
      <w:r>
        <w:t>IT: GE_GERICHTE ATAS/362/2019 del 23 aprile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w:t>
      </w:r>
    </w:p>
    <w:p>
      <w:r>
        <w:t>A/3148/2018 - 4/9 -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La durée de la suspension est proportionnelle à la gravité de la faute (art. 30 al. 3 LACI ; arrêt du Tribunal fédéral des assurances C 254/06 du 26 novembre 2007 consid. 5.3). L’OACI distingue trois catégories de faute – à</w:t>
      </w:r>
    </w:p>
    <w:p>
      <w:r>
        <w:t>A/3148/2018 - 5/9 -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w:t>
      </w:r>
    </w:p>
    <w:p>
      <w:r>
        <w:t>A/3148/2018 - 6/9 -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d. Selon l’art. 30 al. 2 LACI, l’autorité cantonale prononce les suspensions au sens de l'al. 1 (not. let. d). Dans d’autres cas, ce sont les caisses qui statuent.</w:t>
      </w:r>
    </w:p>
    <w:p>
      <w:r>
        <w:rPr>
          <w:b/>
        </w:rPr>
        <w:t>E. 3</w:t>
      </w:r>
    </w:p>
    <w:p>
      <w:r>
        <w:t>a. La recourante invoque en premier lieu une violation de son droit d’être entendue. b. L’art. 29 al. 2 de la Constitution fédérale de la Confédération suisse du 18 avril 1999 (Cst. - RS 101)^prévoit que les parties ont le droit d’être entendues. L’art. 42 LPGA concrétise cette garantie constitutionnelle dans le domaine des assurances sociales, en en reprenant le principe, à sa phr. 1, et en en prévoyant une modalité d’application, à sa phr. 2, tenant compte du fait que, dans ce domaine, les décisions sont sujettes à opposition avant l’ouverture d’une voie judiciaire de contestation, sous réserve des décisions d’ordonnancement de la procédure (art. 52 al. 1 LPGA) et des décisions en matière d’assurance-invalidité (art. 57a de la loi fédérale sur l’assurance-invalidité du 19 juin 1959 - LAI - 831.20) : selon cette disposition, il n’est pas nécessaire d’entendre les parties avant une décision sujette à opposition. Le législateur a considéré que c’est la procédure d’opposition qui permet à l’intéressé de faire valoir sa position (Anne-Sylvie DUPOT, in Anne-Sylvie DUPONT / Margit MOSER-SZELESS [éd.], Commentaire romande la loi sur la partie générale des assurances sociales [ci-après : CR LPGA-Auteur], 2018, n. 14 ss ad art. 42). c. L’intimé n’était donc pas tenu, au regard de l’art. 42 phr. 2 LPGA, de donner à la recourante l’occasion de faire valoir son droit d’être entendue avant de rendre la décision initiale du 7 août 2018. La recourante a pu l’exercer par le biais de son opposition. Le grief soulevé n’est pas fondé ; en tout état, il devrait être considéré comme ayant été réparé déjà par la procédure d’opposition, et aussi par la procédure de recours.</w:t>
      </w:r>
    </w:p>
    <w:p>
      <w:r>
        <w:rPr>
          <w:b/>
        </w:rPr>
        <w:t>E. 4</w:t>
      </w:r>
    </w:p>
    <w:p>
      <w:r>
        <w:t>a. En l’espèce, en statuant sur l’opposition de la recourante, l’intimé a pris note du motif que cette dernière a fait valoir par le biais de son opposition, sans en tirer de conséquence sur le principe et la quotité de la suspension de son droit à l’indemnité de chômage. L’intimé a admis, à bon droit, que la recourante avait effectué en réalité dix recherches personnelles d’emploi en juin 2018, compte tenu de celle qu’elle avait faite le 15 juin 2018 via le site internet de recherche d’emploi www.indeed.ch pour un poste de « Professeur de Français en 4ème à GEX » mais qu’elle avait oublié de reporter sur le formulaire RPE dudit mois. Il a toutefois retenu que cette omission de mention sur ledit formulaire équivalait à une insuffisance quantitative</w:t>
      </w:r>
    </w:p>
    <w:p>
      <w:r>
        <w:t>A/3148/2018 - 7/9 - de recherche d’emploi, non susceptible d’être réparée par sa production tardive, au stade de l’opposition. En soi, une telle substitution de motif de sanction au cours de la procédure est admissible, déjà au stade de l’opposition et même devant l’autorité de recours (Boris RUBIN, op. cit., n. 18 ad art. 30). b. Comme l’indique le plan d’actions que les assurés doivent signer (et que la recourante a signé le 1er juin 2017) et comme cela est répété sur le formulaire RPE, l’art. 26 al. 2 OACI prévoit que la personne assurée doit remettre la preuve de ses recherches d’emploi pour chaque période de contrôle au plus tard le cinq du mois suivant ou le premier jour ouvrable qui suit cette date, et qu’à l’expiration de ce délai, et en l’absence d’excuse valable, les recherches d’emploi ne sont plus prises en considération (ch. B324a du Bulletin LACI ID). Des preuves de recherches d’emploi remises tardivement sont donc pratiquement assimilées à l’absence de recherches d’emploi, dans l’idée que le devoir de l’administration de clarifier la situation doit être limité et que plus le temps passe plus il est difficile de contrôler des recherches d’emplois (ATF 139 V 164). Le schématisme prévu par l’art. 26 al. 2 phr. 2 OACI ne doit cependant pas être appliqué sans nuance, notamment en cas de léger retard dans la remise des preuves de recherches d’emploi (soit de quelques jours, pas plus d’une semaine [arrêt du Tribunal fédéral 8C_2/2012 du 14 juin 2012 consid. 3.2]), de recherches s’avérant finalement suffisantes quantitativement et qualitativement et de comportement jusque-là irréprochable de l’assuré. Si ces conditions sont remplies cumulativement, il peut se justifier de réduire la durée de la suspension du droit à l’indemnité de chômage prévue par le barème du SECO (Boris RUBIN, op. cit., n. 30 ad art. 17 ; ch. B324b et D33a du Bulletin LACI ID). c. En l’espèce, la recourante, dont le comportement avait été jusque-là irréprochable, a simplement omis de reporter une dixième postulation, bel et bien intervenue au cours de la période de contrôle pertinente, sur le formulaire RPE, remis quant à lui à temps à l’ORP, et elle a remédié à cette omission sitôt qu’elle s’en est rendue compte, à réception de la décision initiale, cinq jours après l’échéance du délai de remise du formulaire RPE. Il n’est pas contesté qu’avec cette dixième postulation, la recourante avait satisfait, pour juin 2018, à son obligation d’effecteur dix recherches personnelles d’emplois par mois. D’après le barème du SECO, des recherches insuffisantes d’emploi pendant la période de contrôle représentent une violation correspondant à une faute légère, devant être sanctionnée par trois à quatre jours de suspension du droit à l’indemnité de chômage. L’intimé a retenu en l’espèce la durée minimale de trois jours, initialement en considération de neuf au lieu de dix recherches personnelles d’emploi, puis, sur opposition, en admettant l’existence d’une dixième recherche personnelle d’emploi mais en l’assimilant à une recherche manquante parce que produite tardivement.</w:t>
      </w:r>
    </w:p>
    <w:p>
      <w:r>
        <w:t>A/3148/2018 - 8/9 - La faute de la recourante ne saurait en l’occurrence être assimilée à une insuffisance quantitative de recherches personnelles d’emploi. Les conditions cumulatives d’une réduction de la sanction prononcée sont réalisées. Si une suspension du droit à l’indemnité de chômage restait justifiée sur le plan du principe, il s’imposait, en termes de droit ou à tout le moins d’opportunité, de ne retenir qu’un seul jour de suspension.</w:t>
      </w:r>
    </w:p>
    <w:p>
      <w:r>
        <w:rPr>
          <w:b/>
        </w:rPr>
        <w:t>E. 5</w:t>
      </w:r>
    </w:p>
    <w:p>
      <w:r>
        <w:t>Le recours doit être admis partiellement et la décision être réformée en ce sens qu’une suspension de un jour à compter du 1er juillet 2018 doit être prononcée en lieu et place d’une suspension de trois jours. Il appartient à l’intimé de verser à la recourante deux indemnités journalières.</w:t>
      </w:r>
    </w:p>
    <w:p>
      <w:r>
        <w:rPr>
          <w:b/>
        </w:rPr>
        <w:t>E. 6</w:t>
      </w:r>
    </w:p>
    <w:p>
      <w:r>
        <w:t>La procédure est gratuite (art. 61 let. a LPGA). Vu l’issue donnée au recours (art. 61 let. g LPGA), une indemnité de procédure de CHF 300.- doit être allouée à la recourante, à la charge de l’intimé. * * * * * *</w:t>
      </w:r>
    </w:p>
    <w:p>
      <w:r>
        <w:t>A/3148/2018 - 9/9 -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