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ATAS/362/2012 vom 21. März 2012</w:t>
      </w:r>
    </w:p>
    <w:p>
      <w:r>
        <w:t>GE Cour de justice, 2012-03-21, FR</w:t>
      </w:r>
    </w:p>
    <w:p>
      <w:r>
        <w:rPr>
          <w:b/>
        </w:rPr>
        <w:t xml:space="preserve">Quelle: </w:t>
      </w:r>
      <w:r>
        <w:t>https://mcp.opencaselaw.ch/entscheid/ge_gerichte_ATAS_362_2012</w:t>
      </w:r>
    </w:p>
    <w:p>
      <w:r>
        <w:t>FR: GE_GERICHTE ATAS/362/2012 du 21 mars 2012</w:t>
      </w:r>
    </w:p>
    <w:p>
      <w:r>
        <w:t>IT: GE_GERICHTE ATAS/362/2012 del 21 marzo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A teneur de l’art. 1er al. 1er LPC, les dispositions de la LPGA s’appliquent aux prestations complémentaires, à moins que la LPC n’y déroge expressément.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l’assurance-invalidité, du 14 octobre 1965 [LPCF; RS J 7 10]) auprès du tribunal des assurances du canton de domicile de l’assuré (art. 58 al. 1 LPGA). S’agissant des prestations complémentaire cantonales, l’art. 43 LPCC ouvre les mêmes voies de droit et l'art. 43B LPCC prévoit également la suspension des délais. En l'espèce, le recours, interjeté dans les forme et délai prévus par la loi devant l’autorité compétente, est recevable (art. 60 al. 1 LPGA, 89B de la loi sur la procédure administrative, du 12 septembre 1985 - LPA ; RS E 5 10 et 43 LPCC).</w:t>
      </w:r>
    </w:p>
    <w:p>
      <w:r>
        <w:rPr>
          <w:b/>
        </w:rPr>
        <w:t>E. 4</w:t>
      </w:r>
    </w:p>
    <w:p>
      <w:r>
        <w:t>L’objet du litige porte sur le point de savoir si l’intimé est tenu de prendre en charge les frais dentaires du recourant, à concurrence de 6'500 fr. en vertu du droit à la protection de la bonne foi.</w:t>
      </w:r>
    </w:p>
    <w:p>
      <w:r>
        <w:rPr>
          <w:b/>
        </w:rPr>
        <w:t>E. 5</w:t>
      </w:r>
    </w:p>
    <w:p>
      <w:r>
        <w:t>La nouvelle loi fédérale sur les prestations complémentaires à l'AVS et à l'AI du 6 octobre 2006, faisant partie de la réforme de la péréquation financière et de la</w:t>
      </w:r>
    </w:p>
    <w:p>
      <w:r>
        <w:t>A/1961/2011 - 6/9 - répartition des tâches entre la Confédération et les cantons (RPT) selon l'arrêté fédéral du 3 octobre 2003, est entrée en vigueur le 1er janvier 2008 (RO 2007 5817 ch. IV). Selon son art. 2,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le prélèvement de cotisations patronales est exclu (al. 2). Les prestations complémentaires se composent en premier lieu de la prestation complémentaire annuelle (art. 3 al. 1 let. a LPC). Son montant correspond à la part des dépenses reconnues qui excède les revenus déterminants (art. 9 al. 1 LPC). En outre, les prestations complémentaires se composent du remboursement des frais de maladie et d’invalidité (art. 3 al. 1 let. b LPC). Selon l’art. 14 al. 1 LPC, les cantons remboursent aux bénéficiaires d’une prestation complémentaire annuelle certains frais de maladie et d’invalidité, s’ils sont dûment établis, notamment les frais de traitement dentaires (let. a). Les cantons peuvent fixer les montants maximaux des frais de maladie et d’invalidité qu’ils remboursent en plus de la prestation complémentaire annuelle qui ne peuvent toutefois, par année, être inférieurs à 50'000 fr. pour un couple (cf. art. 14 al. 3 let. a. chiffre 2 LPC). Sur le plan cantonal, la LPCF prévoit que les montants maximaux des frais de maladie et d’invalidité qui peuvent être remboursés correspondent aux montants figurant à l’art. 14 al. 3 de la loi fédérale et qu’ils sont limités aux dépenses nécessaires dans le cadre d’une fourniture économique et adéquate des prestations (cf. art. 2 al. 1 let. c LPCF). Enfin, les personnes qui, en raison de revenus excédentaires, n’ont pas droit à une prestation complémentaire annuelle, ont droit au remboursement des frais de maladie et d’invalidité qui dépassent la part des revenus excédentaires (art. 14 al. 6 LPC).</w:t>
      </w:r>
    </w:p>
    <w:p>
      <w:r>
        <w:rPr>
          <w:b/>
        </w:rPr>
        <w:t>E. 6</w:t>
      </w:r>
    </w:p>
    <w:p>
      <w:r>
        <w:t>Il n’est pas contesté que le recourant n’a pas droit à une prestation complémentaire annuelle. De même, le recourant ne remet pas en cause le calcul effectué par l’intimé dans sa décision sur opposition, dont il résulte que la part de ses revenus excédentaires s’élève à 17'489 fr. en matière de PCC, excluant ainsi tout droit au remboursement de ses frais de traitement dentaires. Le recourant se prévaut toutefois de son droit à la protection de la bonne foi. Il se fonde sur la décision du 23 septembre 2010, selon laquelle l’intimé l’a informé, après réception de l’avis de son médecin-dentiste conseil, qu’il avait droit à une participation à ses frais de traitement dentaires jusqu’à concurrence de 6'500 fr. maximum.</w:t>
      </w:r>
    </w:p>
    <w:p>
      <w:r>
        <w:t>A/1961/2011 - 7/9 -</w:t>
      </w:r>
    </w:p>
    <w:p>
      <w:r>
        <w:rPr>
          <w:b/>
        </w:rPr>
        <w:t>E. 7</w:t>
      </w:r>
    </w:p>
    <w:p>
      <w:r>
        <w:t>Le principe de la bonne foi qui doit imprégner les relations entre l’État et les citoyens (art. 5 al. 3 Cst. ; ATF 126 II 104 consid. 4b) leur impose de se comporter l’un vis-à-vis de l’autre de manière loyale. Le droit à la protection de la bonne foi est expressément consacré à l'art. 9 Cst. Selon la jurisprudence,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1. il faut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5. que la loi n'ait pas changé depuis le moment où le renseignement a été donné (ATF 131 II 636 consid. 6.1, 129 I 170 consid. 4.1, 126 II 387 consid. 3a, 122 II 123 consid. 3b/cc, 121 V 66 consid. 2a; RAMA 2000 n° KV 126 p. 223).</w:t>
      </w:r>
    </w:p>
    <w:p>
      <w:r>
        <w:t>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 129 I 161 consid. 4.1 p. 170; 126 II 377 consid. 3a p. 387 et les arrêts cités; voir aussi arrêt 2C_212/2008 du 3 septembre 2008 consid. 11 non publié à l'ATF 134 II 265). La précision que l'attente ou l'espérance doit être "légitime" est une autre façon de dire que l'administré doit avoir eu des raisons sérieuses d'interpréter comme il l'a fait le comportement de l'administration et d'en déduire les conséquences qu'il en a tirées. Tel n'est notamment pas le cas s'il apparaît, au vu des circonstances, qu'il devait raisonnablement avoir des doutes sur la signification du comportement en cause et se renseigner à ce sujet auprès de l'autorité (ATF 134 I 199 consid. 1.3.1 p. 203 ; cf. arrêt 2C_975/2010 du 31 mai 2011).</w:t>
      </w:r>
    </w:p>
    <w:p>
      <w:r>
        <w:rPr>
          <w:b/>
        </w:rPr>
        <w:t>E. 8</w:t>
      </w:r>
    </w:p>
    <w:p>
      <w:r>
        <w:t>En l’espèce, le recourant allègue s’être fondé sur la décision du 23 septembre 2010 pour entreprendre un traitement dentaire coûteux, convaincu qu’il obtiendrait une participation de 6'500 fr. Il a choisi la deuxième solution évoquée par l’intimé, à</w:t>
      </w:r>
    </w:p>
    <w:p>
      <w:r>
        <w:t>A/1961/2011 - 8/9 - savoir qu’il a fait exécuter le plan de traitement dentaire - diminué à 9'200 fr. par le praticien -, étant entendu qu’il assumerait la différence. Il fait valoir que par son comportement, l’intimé l’a incité à entreprendre le traitement dentaire en cause. Il suit par ailleurs un préjudice, car le traitement ne peut être interrompu. Se prévalant du droit à la protection de la bonne foi, le recourant considère que l’intimé doit honorer sa promesse. L’intimé conteste ce point de vue. Il fait valoir qu’il a toujours été clair, dès lors que le recourant avait reçu lors de la décision du 16 avril 2010 déjà des informations sur le remboursement des frais de maladie et d’invalidité et que la décision du 23 septembre 2010 mentionnait clairement qu’il ne s’agissait pas d’une garantie de paiement, la prise en charge étant liée à l’existence aux prestations. La Cour de céans relève que certes, le libellé de la décision du 23 septembre 2010 mentionne que l’intimé accorde une participation à ses frais de traitement dentaire jusqu’à concurrence de 6'500 fr. maximum. Cela étant, le verso de la décision en cause indique expressément que la présente ne constitue en aucun cas une garantie de paiement, car la prise en charge reste liée à l’existence d’un droit aux prestations de son service. Or, une telle mention, qui paraît contradictoire au regard du contenu de la première page, aurait dû à tout le moins faire naître un doute dans l’esprit du recourant quant à une réelle prise en charge et l’inciter à se renseigner davantage auprès de l’intimé. Il ne pouvait pas raisonnablement croire à une participation financière inconditionnelle. Partant, il ne peut se prévaloir du droit à la protection de la bonne foi.</w:t>
      </w:r>
    </w:p>
    <w:p>
      <w:r>
        <w:rPr>
          <w:b/>
        </w:rPr>
        <w:t>E. 9</w:t>
      </w:r>
    </w:p>
    <w:p>
      <w:r>
        <w:t>Mal fondé, le recours est rejeté.</w:t>
      </w:r>
    </w:p>
    <w:p>
      <w:r>
        <w:t>A/1961/2011 - 9/9 -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