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ATAS/362/2005 vom 3. Mai 2005</w:t>
      </w:r>
    </w:p>
    <w:p>
      <w:r>
        <w:t>GE Cour de justice, 2005-05-03, FR</w:t>
      </w:r>
    </w:p>
    <w:p>
      <w:r>
        <w:rPr>
          <w:b/>
        </w:rPr>
        <w:t xml:space="preserve">Quelle: </w:t>
      </w:r>
      <w:r>
        <w:t>https://mcp.opencaselaw.ch/entscheid/ge_gerichte_ATAS_362_2005</w:t>
      </w:r>
    </w:p>
    <w:p>
      <w:r>
        <w:t>FR: GE_GERICHTE ATAS/362/2005 du 3 mai 2005</w:t>
      </w:r>
    </w:p>
    <w:p>
      <w:r>
        <w:t>IT: GE_GERICHTE ATAS/362/2005 del 3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w:t>
      </w:r>
    </w:p>
    <w:p>
      <w:r>
        <w:t>- 7/12-</w:t>
      </w:r>
    </w:p>
    <w:p>
      <w:r>
        <w:t>A/1282/2004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(articles 56 et 60 LPGA).</w:t>
      </w:r>
    </w:p>
    <w:p>
      <w:r>
        <w:rPr>
          <w:b/>
        </w:rPr>
        <w:t>E. 3</w:t>
      </w:r>
    </w:p>
    <w:p>
      <w:r>
        <w:t>Aux termes de l'art. 8 al. 1 et 3 LPGA, ainsi que l’art. 4 de la loi fédérale sur l’assurance-invalidité (LAI),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L’invalidité peut résulter d'une infirmité congénitale, d'une maladie ou d'un accident. L’invalidité est réputée survenue dès qu’elle est par sa nature et sa gravité, propre à ouvrir droit aux prestations entrant en considération.</w:t>
      </w:r>
    </w:p>
    <w:p>
      <w:r>
        <w:t>L'assuré a droit à une rente entière s'il est invalide à 66 2/3% au moins, à une demi-rente s'il est invalide à 50% au moins, ou à un quart de rente s'il est invalide à 40% au moins (art. 28, al. 1 LAI dans sa teneur valable jusqu’au 31 décembre 2003). Dans les cas pénibles, une invalidité de 40% au moins ouvre le droit à une demi-rente. (art. 28 al. 1bis LAI).</w:t>
      </w:r>
    </w:p>
    <w:p>
      <w:r>
        <w:t>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w:t>
      </w:r>
    </w:p>
    <w:p>
      <w:r>
        <w:t>L’incapacité de gain est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t>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w:t>
      </w:r>
    </w:p>
    <w:p>
      <w:r>
        <w:t>- 8/12-</w:t>
      </w:r>
    </w:p>
    <w:p>
      <w:r>
        <w:t>A/1282/2004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Le refus de la rente doit être maintenu aussi longtemps qu’il est possible d’attendre de l’intéressé névropathique qu’il fasse l’effort d’utiliser sa capacité de travail. Il ne suffit donc pas qu’un névrotique s’abstienne pendant un certain temps de faire l’effort que l’on est en droit d’attendre de lui pour obtenir finalement la rente qu’il convoite et dont le versement constitue le but qu’il s’est fixé consciemment ou non. En effet, cela aurait pour conséquence de rendre</w:t>
      </w:r>
    </w:p>
    <w:p>
      <w:r>
        <w:t>- 9/12-</w:t>
      </w:r>
    </w:p>
    <w:p>
      <w:r>
        <w:t>A/1282/2004 illusoire l’effet thérapeutique que l’on peut en général escompter du refus de cette rente (ATF 106 V 89 ss, RCC 1981, p. 125). D’après ces principes, une rente doit continuer d’être refusée lorsque l’ancien pronostic ne s’est, il est vrai, pas réalisé (l’assuré n’a pas repris le travail, après plusieurs années), mais que l’on peut quand même attendre encore de l’assuré qu’il exerce une activité en faisant appel à toutes ses forces.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w:t>
      </w:r>
    </w:p>
    <w:p>
      <w:r>
        <w:t>- 10/12-</w:t>
      </w:r>
    </w:p>
    <w:p>
      <w:r>
        <w:t>A/1282/2004 être compréhensible, concluante et ne pas trancher des points de droit (BUEHLER, Erwartungen des Richters an der Sachverständigen, in PJA 1999 p. 567 et ss.).</w:t>
      </w:r>
    </w:p>
    <w:p>
      <w:r>
        <w:rPr>
          <w:b/>
        </w:rPr>
        <w:t>E. 4</w:t>
      </w:r>
    </w:p>
    <w:p>
      <w:r>
        <w:t>Il résulte des rapports médicaux dans leur ensemble ainsi que des audiences d’enquêtes que les diagnostics de schizophrénie et de délire hypomaniaque retenus par le Docteur N__________ doivent être écartés. Restent ceux d’état de stress post-traumatique et de personnalité émotionnelement labile de type borderline posés par les médecins traitants.</w:t>
      </w:r>
    </w:p>
    <w:p>
      <w:r>
        <w:t>La recourante a été soumise à une expertise psychiatrique effectuée par le Docteur P__________. Selon celui-ci, l’assurée ne présente qu’un retard mental léger ou limite, lequel n’entraine aucune incapacité de travail.</w:t>
      </w:r>
    </w:p>
    <w:p>
      <w:r>
        <w:t>Force est de constater que le rapport d’expertise possède une pleine valeur probante. Les conclusions sont claires et bien motivées. Le Docteur P__________ a au surplus expliqué de façon convaincante lors de son audition le 25 janvier 2005 qu’il ne pouvait être question dans le cas de l’assurée d’état de stress post- traumatique, et que même si l’on devait admettre qu’elle ait souffert d’un tel état, celui-ci ne saurait avoir duré plus de six mois. S’agissant de la personnalité borderline, l’expert a admis que ce diagnostic pouvait être posé, avec une intensité légère seulement, ce qui n’impliquait aucune limitation dans la capacité dans le travail.</w:t>
      </w:r>
    </w:p>
    <w:p>
      <w:r>
        <w:t>Il y a lieu à ce stade de rappeler, au sujet des rapports établis par les médecins traitants, que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w:t>
      </w:r>
    </w:p>
    <w:p>
      <w:r>
        <w:t>- 11/12-</w:t>
      </w:r>
    </w:p>
    <w:p>
      <w:r>
        <w:t>A/1282/2004 compte des affirmations du patient. Il doit parfois s’écarter de l’appréciation plus subjective du médecin traitant. Au surplus, tant le Docteur M__________ que la Doctoresse L__________ n’avaient pas encore, à l’époque où l’assurée les consultait, obtenu le FMH de psychiatrie. Certes l’assurée a-t-elle eu un parcours professionnel quelque peu chaotique, ne restant, la plupart du temps, que quelques mois à chaque place de travail, elle a cependant toujours travaillé à l’exception de la période durant laquelle elle était mariée. Le Tribunal de céans est ainsi d’avis, au vu de l’expertise du Docteur P__________ et de ses déclarations complémentaires, qu’il est en l’espèce possible d’exiger de la recourante, encore jeune, qu’elle mette à profit sa capacité de travail dans l’un des emplois qu’elle a occupés jusqu’en 2001. Le recours mal fondé doit être rejeté.</w:t>
      </w:r>
    </w:p>
    <w:p>
      <w:r>
        <w:t>- 12/12-</w:t>
      </w:r>
    </w:p>
    <w:p>
      <w:r>
        <w:t>A/1282/2004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