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ATAS/361/2024 vom 21. Mai 2024</w:t>
      </w:r>
    </w:p>
    <w:p>
      <w:r>
        <w:t>GE Cour de justice, 2024-05-21, FR</w:t>
      </w:r>
    </w:p>
    <w:p>
      <w:r>
        <w:rPr>
          <w:b/>
        </w:rPr>
        <w:t xml:space="preserve">Quelle: </w:t>
      </w:r>
      <w:r>
        <w:t>https://mcp.opencaselaw.ch/entscheid/ge_gerichte_ATAS_361_2024</w:t>
      </w:r>
    </w:p>
    <w:p>
      <w:r>
        <w:t>FR: GE_GERICHTE ATAS/361/2024 du 21 mai 2024</w:t>
      </w:r>
    </w:p>
    <w:p>
      <w:r>
        <w:t>IT: GE_GERICHTE ATAS/361/2024 del 21 maggio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w:t>
      </w:r>
    </w:p>
    <w:p>
      <w:r>
        <w:t>A/2245/2023 - 3/4 - 2006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56 al. 1 et 60 al. 1 LPGA ; art. 43 LPCC).</w:t>
      </w:r>
    </w:p>
    <w:p>
      <w:r>
        <w:rPr>
          <w:b/>
        </w:rPr>
        <w:t>E. 2</w:t>
      </w:r>
    </w:p>
    <w:p>
      <w:r>
        <w:t>Le litige porte sur la question de la notification de la décision du 15 mars 2023 et de la recevabilité de l’opposition formée contre celle-ci le 8 juin 2023.</w:t>
      </w:r>
    </w:p>
    <w:p>
      <w:r>
        <w:rPr>
          <w:b/>
        </w:rPr>
        <w:t>E. 2.1</w:t>
      </w:r>
    </w:p>
    <w:p>
      <w:r>
        <w:t>Aux termes de l'art. 49 al. 3 LPGA, les décisions indiquent les voies de droit. Elles doivent être motivées si elles ne font pas entièrement droit aux demandes des parties. La notification irrégulière d’une décision ne doit entraîner aucun préjudice pour l’intéressé.</w:t>
      </w:r>
    </w:p>
    <w:p>
      <w:r>
        <w:rPr>
          <w:b/>
        </w:rPr>
        <w:t>E. 2.2</w:t>
      </w:r>
    </w:p>
    <w:p>
      <w:r>
        <w:t>Selon la jurisprudence,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pour autant que le destinataire devait s’attendre à recevoir ledit pli (ATF 134 V 49 consid 4 ; ATF 130 III 396 consid. 1.2.3), ce qui est le cas de celui qui se sait partie à une procédure administrative ou judiciaire et qui doit dès lors s'attendre, selon une certaine vraisemblance, à recevoir des actes de l'autorité (ATF 141 II 429 consid. 3.1 ; ATF 139 IV 228 consid. 1.1 et les références citées ; arrêt du Tribunal fédéral 1C_174/2016 du 24 août 2016 consid. 2.1).</w:t>
      </w:r>
    </w:p>
    <w:p>
      <w:r>
        <w:rPr>
          <w:b/>
        </w:rPr>
        <w:t>E. 3</w:t>
      </w:r>
    </w:p>
    <w:p>
      <w:r>
        <w:t>En l’occurrence, la décision du 15 mars 2023 a été envoyée par pli simple, de sorte qu’il n’est pas possible d’établir une preuve de sa notification, laquelle est contestée par le curateur. Ce dernier a formé opposition peu après avoir reçu un rappel de paiement, de sorte que l’on ne saurait déduire de son comportement qu’il aurait au préalable eu connaissance de la décision en cause. Dans ces circonstances, le recours sera admis et la cause renvoyée à l’intimé pour décision au fond.</w:t>
      </w:r>
    </w:p>
    <w:p>
      <w:r>
        <w:rPr>
          <w:b/>
        </w:rPr>
        <w:t>E. 4</w:t>
      </w:r>
    </w:p>
    <w:p>
      <w:r>
        <w:t>Le recourant obtenant gain de cause, une indemnité de CHF 1'500.- lui sera accordée à titre de participation à ses frais et dépens (art. 61 let. g LPGA). Pour le surplus, la procédure est gratuite.</w:t>
      </w:r>
    </w:p>
    <w:p>
      <w:r>
        <w:t>A/2245/2023 - 4/4 -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