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ATAS/361/2022 vom 20. April 2022</w:t>
      </w:r>
    </w:p>
    <w:p>
      <w:r>
        <w:t>GE Cour de justice, 2022-04-20, FR</w:t>
      </w:r>
    </w:p>
    <w:p>
      <w:r>
        <w:rPr>
          <w:b/>
        </w:rPr>
        <w:t xml:space="preserve">Quelle: </w:t>
      </w:r>
      <w:r>
        <w:t>https://mcp.opencaselaw.ch/entscheid/ge_gerichte_ATAS_361_2022</w:t>
      </w:r>
    </w:p>
    <w:p>
      <w:r>
        <w:t>FR: GE_GERICHTE ATAS/361/2022 du 20 avril 2022</w:t>
      </w:r>
    </w:p>
    <w:p>
      <w:r>
        <w:t>IT: GE_GERICHTE ATAS/361/2022 del 20 aprile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1er janvier 2021 est entrée en vigueur la modification du 21 juin 2019 de la LPGA. Toutefois, dans la mesure où le recours était, au 1er janvier 2021, pendant devant la chambre de céans, il reste soumis à l'ancien droit (cf. art. 82a LPGA ; RO 2020 5137 ; FF 2018 1597 ; erratum de la CdR de l’Ass. féd. du 19 mai 2021, publié le 18 juin 2021 in RO 2021 358).</w:t>
      </w:r>
    </w:p>
    <w:p>
      <w:r>
        <w:rPr>
          <w:b/>
        </w:rPr>
        <w:t>E. 4</w:t>
      </w:r>
    </w:p>
    <w:p>
      <w:r>
        <w:t>Le délai de recours est de trente jours (art. 56 LPGA; art. 62 al. 1 de la loi sur la procédure administrative du 12 septembre 1985 [LPA - E 5 10]). Le recours doit être déposé dans les trente jours suivant la notification de la décision sujette à recours (art. 60 al. 1 LPGA ; art. 60 al. 1 de la loi sur la procédure administrative du 12 septembre 1985 [LPA - E 5 10]). Les art. 38 à 41 LPGA sont applicables par analogie (art. 60 al. 2 LPGA). Le délai commence à courir le lendemain de la communication (art. 38 al. 1 LPGA). Lorsque le délai échoit un samedi, un dimanche ou un jour férié selon le droit fédéral ou cantonal, son terme est reporté au premier jour ouvrable qui suit (cf. 38 al. 3 LPGA). Les écrits doivent être remis au plus tard le dernier jour du délai à La Poste suisse (art. 39 al. 2 LPGA). En l’occurrence, la décision querellée a été distribuée à l’adresse du mandataire de la recourante le samedi 16 mai 2020, selon le suivi de l’envoi A+. Le délai de recours a commencé à courir le 17 juin et est arrivé à échéance le lundi 15 juin 2020. Posté le 15 juin 2020 et signé dans le délai imparti par le greffe de la chambre de céans, le recours est recevable.</w:t>
      </w:r>
    </w:p>
    <w:p>
      <w:r>
        <w:rPr>
          <w:b/>
        </w:rPr>
        <w:t>E. 5</w:t>
      </w:r>
    </w:p>
    <w:p>
      <w:r>
        <w:t>Le litige porte sur le point de savoir si la recourante a droit à des prestations au-delà du 31 juillet 2019. Il s’agit par conséquent de déterminer si les troubles présentés par l’assurée postérieurement à cette date sont en lien de causalité avec l’événement du 29 avril 2019.</w:t>
      </w:r>
    </w:p>
    <w:p>
      <w:r>
        <w:rPr>
          <w:b/>
        </w:rPr>
        <w:t>E. 6</w:t>
      </w:r>
    </w:p>
    <w:p>
      <w:r>
        <w:t>Selon l'art. 6 al. 1 LAA, les prestations d'assurance sont allouées en cas d'accident professionnel, d'accident non professionnel et de maladie professionnelle. Par accident, on entend toute atteinte dommageable, soudaine et involontaire, portée au</w:t>
      </w:r>
    </w:p>
    <w:p>
      <w:r>
        <w:t>A/1682/2020 - 5/8 -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7</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w:t>
      </w:r>
    </w:p>
    <w:p>
      <w:r>
        <w:t>A/1682/2020 - 6/8 - plus (statu quo ante ou statu quo sine) selon le critère de la vraisemblance prépondérante, usuel en matière de preuve dans le domaine des assurances sociales (ATF 126 V 360 consid. 5b; ATF 125 V 195 consid. 2; RAMA 2000 n° U 363 p. 46).</w:t>
      </w:r>
    </w:p>
    <w:p>
      <w:r>
        <w:rPr>
          <w:b/>
        </w:rPr>
        <w:t>E. 8</w:t>
      </w:r>
    </w:p>
    <w:p>
      <w:r>
        <w:t>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w:t>
      </w:r>
    </w:p>
    <w:p>
      <w:r>
        <w:rPr>
          <w:b/>
        </w:rPr>
        <w:t>E. 9</w:t>
      </w:r>
    </w:p>
    <w:p>
      <w:r>
        <w:t>En l’espèce, suite à une chute dans les escaliers, la recourante a subi un traumatisme du rachis cervical. Elle a développé par la suite des douleurs importantes de la région cervicobrachiale qui irradient vers les mains et l’épaule droite, réfractaires aux traitements. Une IRM cervicale pratiquée le 4 juillet 2019 a mis en évidence une discopathie protrusive en C5-C6, moins marquée en C6-C7, et une uncarthrose C5C6 et C6-C7. Il n’y avait pas de malformation de la charnière cervico-occipitale, pas de tassement vertébral, ni de listhésis. Le scanner cérébral avec angioCT du 3 septembre 2019 n’a pas objectivé d’anomalie parenchymateuse suspecte, ni de lésion pariétale gauche et du cadre osseux. Le Dr POLIC, médecin traitant de la recourante, indiquait dans son rapport du 5 décembre 2019 que sa patiente n’a jamais eu de problème auparavant à la région nucale, de sorte que ses plaintes concernent l’accident du 29 avril 2019. Selon l’avis du 9 janvier 2020 du Dr D______, médecin d’arrondissement, la recourante présentait déjà une arthrose cervicale avant l’accident. Dès lors qu’il n’y a pas de lésion déstabilisante comme une fracture ou une luxation, les suites de l’accident ne jouent plus aucun rôle au degré de la vraisemblance prépondérante trois mois après l’accident et il convenait de clôturer le cas. Lors de l’examen du 2 février 2020, le Dr D______ a relevé les plaintes importantes de l’assurée lors de l’élévation de l’épaule, ainsi que lors de la mobilisation de la colonne vertébrale, une force semblant diminuée au niveau de la main droite et une surélévation de l’épaule droite limitée et déclarée comme algique. La dernière IRM du 21 février 2020 a mis en évidence une pathologie dégénérative de la colonne vertébrale. Le médecin d’arrondissement a expliqué à l’assurée que sur le plan assécurologique, il ne pouvait pas retenir un lien de causalité entre l’événement annoncé et les lésions de type arthrose constatées. Il partageait l’avis du médecin</w:t>
      </w:r>
    </w:p>
    <w:p>
      <w:r>
        <w:t>A/1682/2020 - 7/8 - traitant selon lequel l’incapacité de travail est tout à fait nécessaire dans ce contexte, mais les liens avec l’événement annoncé sont désormais éteints plus de six mois après l’événement. Au vu de l’importante pathologie dégénérative de la colonne vertébrale et cervicale, objectivée par les IRM et scanner, la chambre de céans se rallie aux avis probants du Dr D______.</w:t>
      </w:r>
    </w:p>
    <w:p>
      <w:r>
        <w:rPr>
          <w:b/>
        </w:rPr>
        <w:t>E. 10</w:t>
      </w:r>
    </w:p>
    <w:p>
      <w:r>
        <w:t>La recourante conteste la décision querellée en se référant à l’avis de son médecin traitant. A ce propos, la chambre de céans relève que ce dernier émet un raisonnement fondé sur l’adage « post hoc, ergo propter hoc » qui ne permet pas d’établir un lien de causalité naturelle au degré de la vraisemblance prépondérante exigé en matière d’assurances sociales. La recourante a produit un rapport de la consultation spécialisée du rachis des Hôpitaux universitaires de Genève (ci-après HUG), daté du 11 février 2020. Les médecins ont diagnostiqué des cervicobrachialgies droites post-traumatiques sans argument formel pour un syndrome radiculaire irritatif et un probable état dépressif réactionnel. La discordance entre l’imagerie et la symptomatologie va contre un syndrome radiculaire du membre doit. Les médecins estimaient que la prise en charge devait être axée sur une rééducation physique, passant notamment par la physiothérapie. Selon un rapport de consultation des HUG du 17 juin 2020, le diagnostic retenu était une discopathie pluri-étagée notamment au niveau C5-C6 et C6-C7, sans conflit radiculaire franc. Les médecins ont proposé une consultation multidisciplinaire à Beau-Séjour (physiothérapeute, ergothérapeute, psychologue et psychiatre) pour trouver la meilleure prise en charge possible sur sa douleur actuelle. La chambre de céans constate que les HUG ont également diagnostiqué une discopathie pluri-étagée, soit une atteinte dégénérative. Pour le surplus, ils ne se sont pas prononcés sur le lien de causalité. Les rapports des HUG ne permettent ainsi pas de remettre en cause les conclusions convaincantes du médecin d’arrondissement, selon lesquels les troubles présentés par la recourante ne sont plus en lien de causalité avec l’accident, trois mois après l’événement, selon le degré de la vraisemblance prépondérante. Partant, l’intimée était fondée à supprimer les prestations d’assurance au 31 juillet 2019.</w:t>
      </w:r>
    </w:p>
    <w:p>
      <w:r>
        <w:rPr>
          <w:b/>
        </w:rPr>
        <w:t>E. 11</w:t>
      </w:r>
    </w:p>
    <w:p>
      <w:r>
        <w:t>Au vu de ce qui précède, le recours, mal fondé, doit être rejeté. Pour le surplus, la procédure est gratuite (art. 61 let. a LPGA).</w:t>
      </w:r>
    </w:p>
    <w:p>
      <w:r>
        <w:t>A/1682/2020 - 8/8 -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