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ATAS/361/2020 vom 12. Mai 2020</w:t>
      </w:r>
    </w:p>
    <w:p>
      <w:r>
        <w:t>GE Cour de justice, 2020-05-12, FR</w:t>
      </w:r>
    </w:p>
    <w:p>
      <w:r>
        <w:rPr>
          <w:b/>
        </w:rPr>
        <w:t xml:space="preserve">Quelle: </w:t>
      </w:r>
      <w:r>
        <w:t>https://mcp.opencaselaw.ch/entscheid/ge_gerichte_ATAS_361_2020</w:t>
      </w:r>
    </w:p>
    <w:p>
      <w:r>
        <w:t>FR: GE_GERICHTE ATAS/361/2020 du 12 mai 2020</w:t>
      </w:r>
    </w:p>
    <w:p>
      <w:r>
        <w:t>IT: GE_GERICHTE ATAS/361/2020 del 12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et à des mesures professionnelles, étant précisé que par décision du 13 juin 2016, entrée en force, celui-ci avait été mis au bénéfice d’une rente entière limitée du 1er octobre 2015 au 29 février 2016.</w:t>
      </w:r>
    </w:p>
    <w:p>
      <w:r>
        <w:rPr>
          <w:b/>
        </w:rPr>
        <w:t>E. 5</w:t>
      </w:r>
    </w:p>
    <w:p>
      <w:r>
        <w:t>Quand l'administration entre en matière sur une nouvelle demande (art. 87 al. 3 du règlement sur l'assurance-invalidité du 17 janvier 1961 [RAI - RS 831.201]), elle</w:t>
      </w:r>
    </w:p>
    <w:p>
      <w:r>
        <w:t>- 10/24 -</w:t>
      </w:r>
    </w:p>
    <w:p>
      <w:r>
        <w:t>A/3823/2019 doit examiner la cause sur le fond et déterminer si la modification du degré d'invalidité rendue plausible par l'assuré a effectivement eu lieu. En cas de recours, cet examen matériel incombe au juge (ATF 117 V 198 consid. 3a). Selon la jurisprudence, l'administration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(ou sur l'accomplissement des travaux habituels) ont subi un changement important (cf. ATF 130 V 343 consid. 3.5 ; arrêt du Tribunal fédéral des assurances I 526/01 du 6 mai 2002 consid. 1a). Une nouvelle demande déposée après l'allocation d'une rente temporaire à titre rétroactif doit satisfaire aux conditions de l'art. 87 al. 3 RAI (ATF 133 V 263 consid. 6).</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w:t>
      </w:r>
    </w:p>
    <w:p>
      <w:r>
        <w:t>- 11/24 -</w:t>
      </w:r>
    </w:p>
    <w:p>
      <w:r>
        <w:t>A/3823/2019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w:t>
      </w:r>
    </w:p>
    <w:p>
      <w:r>
        <w:t>- 12/24 -</w:t>
      </w:r>
    </w:p>
    <w:p>
      <w:r>
        <w:t>A/3823/2019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w:t>
      </w:r>
    </w:p>
    <w:p>
      <w:r>
        <w:rPr>
          <w:b/>
        </w:rPr>
        <w:t>E. 12</w:t>
      </w:r>
    </w:p>
    <w:p>
      <w:r>
        <w:t>Reste à déterminer le degré d'invalidité du recourant.</w:t>
      </w:r>
    </w:p>
    <w:p>
      <w:r>
        <w:rPr>
          <w:b/>
        </w:rPr>
        <w:t>E. 13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- 20/24 -</w:t>
      </w:r>
    </w:p>
    <w:p>
      <w:r>
        <w:t>A/3823/2019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- 21/24 -</w:t>
      </w:r>
    </w:p>
    <w:p>
      <w:r>
        <w:t>A/3823/2019 éléments qui peuvent influencer le revenu d'une activité lucrative (ATF 126 V 75 consid. 5b/aa-cc).</w:t>
      </w:r>
    </w:p>
    <w:p>
      <w:r>
        <w:rPr>
          <w:b/>
        </w:rPr>
        <w:t>E. 14</w:t>
      </w:r>
    </w:p>
    <w:p>
      <w:r>
        <w:t>a. En l'espèce, on peut se demander si l'art. 29bis RAI trouve application, disposition à teneur de laquelle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On rappellera qu’à l'époque, quand bien même le recourant avait été opéré du pied droit, c'étaient les talalgies inférieures bilatérales qui avaient donné lieu à une rente entière d'invalidité du 1er octobre 2015 au 29 février 2016. Dès le 14 août 2017, la nouvelle incapacité de travail découle de la même affection, bien que le recourant ait cette fois-ci été opéré du pied gauche. Quoi qu'il en soit, en cas de rechute selon l’art. 29bis RAI, la rente ne peut être allouée au plus tôt qu’à l'échéance d'une période de six mois à compter de la date à laquelle l'assuré a fait son droit aux prestations conformément à l'art. 29 al. 1 LAI (cf. chiffre 4004 de la circulaire sur l'invalidité et l'impotence dans l'assurance- invalidité du 1er janvier 2015 [CIIAI] et la référence). En l’occurrence, le recourant a déposé sa nouvelle demande de prestations le 4 octobre 2018, de sorte qu'un droit éventuel à une rente d'invalidité ne pourrait naître qu'en avril 2018. Or, à ce moment, le recourant disposait d'une capacité de travail entière sur le plan somatique et psychique dans une activité adaptée à ses limitations, et comme exposé ci-après, son degré d'invalidité n'atteignait pas le seuil de 40% ouvrant droit à une rente. Par conséquent, la question de savoir si on est en présence au sens de l'art. 29bis RAI d'une rechute, intervenant (le 14 août 2017) dans les trois ans suivant la suppression (le 13 juin 2016) de la rente précédemment octroyée, peut rester ouverte. b. Il convient maintenant d’examiner le degré d’invalidité. b/aa. Dès lors que le changement important de la capacité de travail du recourant ayant une incidence sur sa capacité de gain remonte au 5 octobre 2017, date à compter de laquelle il a présenté une amélioration de son état de santé (cf. consid. 11c. ci-dessus), il convient de se placer en 2017 pour procéder à la comparaison des revenus. b/bb. Il y a lieu de se référer aux données communiquées par l’employeur le 6 mai 2015 pour déterminer le revenu sans invalidité, selon lequel le salaire annuel du recourant s’élevait à CHF 53'404.- depuis octobre 2014. Réactualisé à 2017 selon l’indice suisse des salaires nominaux pour les hommes publié par l’office fédéral de la statistique (ISS ; en 2014 : 2220 et en 2017 : 2249), ce revenu est de CHF 54'102.- (53'404 × 2249/ 2220 = 54'101.61).</w:t>
      </w:r>
    </w:p>
    <w:p>
      <w:r>
        <w:t>- 22/24 -</w:t>
      </w:r>
    </w:p>
    <w:p>
      <w:r>
        <w:t>A/3823/2019 b/cc. Quant au revenu avec invalidité, il y a lieu de se fonder sur les salaires résultant de l’ESS, dès lors que le recourant n’a pas repris d’activité lucrative. En ce qui concerne l'année de référence des tableaux statistiques à appliquer, l'ESS 2018 n'était pas encore publiée au moment déterminant de la décision du 2 octobre 2019. Aussi convient-il de se référer à la version 2016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w:t>
      </w:r>
    </w:p>
    <w:p>
      <w:r>
        <w:rPr>
          <w:b/>
        </w:rPr>
        <w:t>E. 15</w:t>
      </w:r>
    </w:p>
    <w:p>
      <w:r>
        <w:t>Reste enfin à examiner si le recourant a droit à une mesure d’ordre professionnel.</w:t>
      </w:r>
    </w:p>
    <w:p>
      <w:r>
        <w:rPr>
          <w:b/>
        </w:rPr>
        <w:t>E. 16</w:t>
      </w:r>
    </w:p>
    <w:p>
      <w:r>
        <w:t>Selon l'art. 8 al. 1 LAI, les assurés invalides ou menacés d'une invalidité (art. 8 LPGA) ont droit à des mesures de réadaptations pour autant que ces mesures soient nécessaires et de nature à rétablir, maintenir ou améliorer leur capacité de gain ou</w:t>
      </w:r>
    </w:p>
    <w:p>
      <w:r>
        <w:t>- 23/24 -</w:t>
      </w:r>
    </w:p>
    <w:p>
      <w:r>
        <w:t>A/3823/2019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w:t>
      </w:r>
    </w:p>
    <w:p>
      <w:r>
        <w:rPr>
          <w:b/>
        </w:rPr>
        <w:t>E. 17</w:t>
      </w:r>
    </w:p>
    <w:p>
      <w:r>
        <w:t>En l’espèce, lors de l’expertise, le recourant a déclaré qu’il n’envisageait pas d’exercer une activité professionnelle et ne souhaitait pas une réadaptation professionnelle (cf. rapport d’expertise, p. 52). Force est ainsi de constater que, sur le plan subjectif, le recourant n’est pas apte à la réadaptation. Il ne peut donc pas avoir droit à des mesures d’ordre professionnel. Quoi qu’il en soit, une mesure de reclassement, plus particulièrement, ne pourrait être envisagée à défaut d’un degré d’invalidité d’au moins 20% (ATF 124 V 108 consid. 2b et les arrêts cités).</w:t>
      </w:r>
    </w:p>
    <w:p>
      <w:r>
        <w:rPr>
          <w:b/>
        </w:rPr>
        <w:t>E. 18</w:t>
      </w:r>
    </w:p>
    <w:p>
      <w:r>
        <w:t>Au vu de ce qui précède, le recours sera rejeté. Étant donné que depuis le 1er juillet 2006, la procédure n'est plus gratuite (art. 69 al. 1bis LAI), il y a lieu de condamner le recourant au paiement d'un émolument, arrêté en l’espèce à CHF 200.-.</w:t>
      </w:r>
    </w:p>
    <w:p>
      <w:r>
        <w:t>- 24/24 -</w:t>
      </w:r>
    </w:p>
    <w:p>
      <w:r>
        <w:t>A/3823/2019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