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ATAS/361/2008 vom 14. März 2008</w:t>
      </w:r>
    </w:p>
    <w:p>
      <w:r>
        <w:t>GE Cour de justice, 2008-03-14, FR</w:t>
      </w:r>
    </w:p>
    <w:p>
      <w:r>
        <w:rPr>
          <w:b/>
        </w:rPr>
        <w:t xml:space="preserve">Quelle: </w:t>
      </w:r>
      <w:r>
        <w:t>https://mcp.opencaselaw.ch/entscheid/ge_gerichte_ATAS_361_2008</w:t>
      </w:r>
    </w:p>
    <w:p>
      <w:r>
        <w:t>FR: GE_GERICHTE ATAS/361/2008 du 14 mars 2008</w:t>
      </w:r>
    </w:p>
    <w:p>
      <w:r>
        <w:t>IT: GE_GERICHTE ATAS/361/2008 del 14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t>A/4476/2007 - 7/11 -</w:t>
      </w:r>
    </w:p>
    <w:p>
      <w:r>
        <w:rPr>
          <w:b/>
        </w:rPr>
        <w:t>E. 2</w:t>
      </w:r>
    </w:p>
    <w:p>
      <w:r>
        <w:t>Interjeté dans les forme et délai prévus par la loi, le recours est recevable (art. 56 à 60 LPGA).</w:t>
      </w:r>
    </w:p>
    <w:p>
      <w:r>
        <w:rPr>
          <w:b/>
        </w:rPr>
        <w:t>E. 3</w:t>
      </w:r>
    </w:p>
    <w:p>
      <w:r>
        <w:t>Le litige porte sur le point de savoir si les atteintes à la santé dont souffre le recourant sont invalidantes et lui ouvrent, le cas échéant, droit à des prestations de l'assurance-invalidité.</w:t>
      </w:r>
    </w:p>
    <w:p>
      <w:r>
        <w:rPr>
          <w:b/>
        </w:rPr>
        <w:t>E. 4</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L'art. 16 LPGA prescrit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(ATFA I 626/03 du 30 avril 2004).</w:t>
      </w:r>
    </w:p>
    <w:p>
      <w:r>
        <w:rPr>
          <w:b/>
        </w:rPr>
        <w:t>E. 5</w:t>
      </w:r>
    </w:p>
    <w:p>
      <w:r>
        <w:t>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6</w:t>
      </w:r>
    </w:p>
    <w:p>
      <w:r>
        <w:t>Parmi les atteintes à la santé psychique qui peuvent, comme les atteintes physiques, provoquer une invalidité, il faut mentionner - outre les affections mentales proprement dites - les anomalies psychiques qui équivalent à des maladies.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w:t>
      </w:r>
    </w:p>
    <w:p>
      <w:r>
        <w:t>A/4476/2007 - 8/11 -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A teneur de la jurisprudence constante, les dépendances comme l’alcoolisme, la pharmacodépendance et la toxicomanie ne constituent pas en elles-mêmes des invalidités au sens de la loi. Une telle dépendance joue en revanche un rôle dans l’assurance-invalidité lorsqu’elle a provoqué une maladie ou un accident qui entraîne une atteinte à la santé physique ou mentale, nuisant à la capacité de gain, ou si elle résulte elle-même d'une atteinte à la santé physique ou mentale ayant va- leur de maladie (VSI 2002 p. 32 consid. 2a; VSI 2001 consid. 2b p. 225; VSI 1996 consid. 1a p. 321 et réf. citées; VSI 1996, consid. 1a p. 325; VSI 1996 consid. 2a p. 319). En d'autres termes, les toxicomanies (syndromes de dépendance comme l'alcoolisme ;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 peuvent cependant avoir valeur d'invalidité si elles sont elles-mêmes la conséquence ou le symptôme d'une atteinte à la santé physique ou mentale engendrant une invalidité ou si elles sont à l'origine d'une atteinte à la santé physique et/ou mentale importante et durable, comme une lésion cérébrale organique ou neurologique ou une altération d'origine organique de la personnalité sur le plan affectif (CII N° 1013).</w:t>
      </w:r>
    </w:p>
    <w:p>
      <w:r>
        <w:rPr>
          <w:b/>
        </w:rPr>
        <w:t>E. 7</w:t>
      </w:r>
    </w:p>
    <w:p>
      <w:r>
        <w:t>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105 V 158 consid. 1).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w:t>
      </w:r>
    </w:p>
    <w:p>
      <w:r>
        <w:t>A/4476/2007 - 9/11 -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En l'espèce, l'intimé a nié tout droit aux prestations au recourant sur la base de l'avis du Dr B___________, du SMR, lequel a rapporté les propos d'un autre médecin du SMR, spécialiste en psychiatrie, à qui il dit avoir soumis le dossier du recourant. Le Tribunal de céans considère cependant que l'avis du Dr B___________ - et, indirectement, du Dr C___________ ne saurait cependant suffire à conclure à l'absence de troubles invalidants. En premier lieu, le rapport du Dr B___________, dont il convient de rappeler qu'il est généraliste, ne saurait se voir accorder la</w:t>
      </w:r>
    </w:p>
    <w:p>
      <w:r>
        <w:t>A/4476/2007 - 10/11 - moindre valeur probante. Ce rapport, constitué d'un seul et unique paragraphe de quelques lignes, se contente de conclure à une toxicomanie "primaire" en se référant à l'avis d'un psychiatre auquel on ignore même si le dossier a été soumis dans son intégralité et qui n'a pas contresigné le rapport. Par ailleurs, contrairement à ce que le Dr B___________ indique, il existe des éléments permettant de penser qu'il pourrait y avoir une atteinte psychique à l'origine de la toxicomanie de l'assuré. En effet, le médecin traitant de ce dernier conclut clairement en ce sens dans son rapport du 23 mars 2005. S'y ajoutent les troubles psychiques dont le recourant allègue souffrir depuis l'enfance. Les diagnostics de trouble de la personnalité borderline avec labilité émotionnelle, comportements d'automutilation et difficultés de régulation des émotions ont été formellement posés par le médecin traitant et la Fondation PHENIX. Certes, ainsi que le fait remarquer l'intimé, le recourant a débuté une formation de dessinateur. Force est cependant de constater qu'il ne l'a pas menée à son terme et que, depuis lors, l'étude du rassemblement de ses comptes AVS individuels démontre qu'en réalité, rares sont les années durant lesquelles il a pu obtenir, par l'exercice d'une activité lucrative, un revenu supérieur à 10'000 fr. par an (1987, 1988, 1992, 1996 et 1998). Cette difficulté à conserver un poste fixe de manière durable étaye quelque peu le soupçon de troubles psychiques éventuels. Or, jusqu'à présent, jamais le recourant n'a fait l'objet d'un examen approfondi sur ce point. Dès lors, il apparaît nécessaire en l'occurrence, avant d'écarter purement et simplement toute éventualité d'atteinte à la santé invalidante sur la base du rapport lapidaire du SMR, de procéder, ainsi que l'a d'ailleurs suggéré à plusieurs reprises le médecin-traitant, à des investigations supplémentaires sur le plan psychiatrique, d'autant que le recourant étant désormais abstinent, les résultats des examens ne ris- quent plus d'être faussés. En l'état, le dossier n'apparaît pas suffisamment instruit pour permettre au Tribunal de céans de se déterminer en toute connaissance de cause sur le point de savoir si les atteintes à la santé du recourant peuvent se voir reconnaître ou non un caractère invalidant. Au vu de ce qui précède, le recours sera admis partiellement et la cause renvoyée à l'intimé à charge pour ce dernier de mettre sur pied notamment une expertise qui sera confiée à un médecin ou un organisme spécialisé en psychiatrie et en matière de toxicodépendance, puis de rendre une nouvelle décision.</w:t>
      </w:r>
    </w:p>
    <w:p>
      <w:r>
        <w:t>A/4476/2007 - 11/11 -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