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ATAS/360/2024 vom 21. Mai 2024</w:t>
      </w:r>
    </w:p>
    <w:p>
      <w:r>
        <w:t>GE Cour de justice, 2024-05-21, FR</w:t>
      </w:r>
    </w:p>
    <w:p>
      <w:r>
        <w:rPr>
          <w:b/>
        </w:rPr>
        <w:t xml:space="preserve">Quelle: </w:t>
      </w:r>
      <w:r>
        <w:t>https://mcp.opencaselaw.ch/entscheid/ge_gerichte_ATAS_360_2024</w:t>
      </w:r>
    </w:p>
    <w:p>
      <w:r>
        <w:t>FR: GE_GERICHTE ATAS/360/2024 du 21 mai 2024</w:t>
      </w:r>
    </w:p>
    <w:p>
      <w:r>
        <w:t>IT: GE_GERICHTE ATAS/360/2024 del 21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J 4 20] ; art. 43 LPCC).</w:t>
      </w:r>
    </w:p>
    <w:p>
      <w:r>
        <w:rPr>
          <w:b/>
        </w:rPr>
        <w:t>E. 2</w:t>
      </w:r>
    </w:p>
    <w:p>
      <w:r>
        <w:t>L’intimé ayant admis que l’état de santé de la recourante ne permettait pas à cette dernière de prendre en charge personnellement ses cinq enfants, la question qui demeure porte sur la période pendant laquelle la recourante peut se voir reconnaître dans ses dépenses reconnues le montant de frais de garde extrafamiliale pour ses cinq enfants, respectivement pour les quatre plus jeunes d’entre eux dès le 1er novembre 2022 (B______ ayant atteint l’âge de 11 ans, aucun frais de ce type ne peut être pris en compte dans les dépenses reconnues).</w:t>
      </w:r>
    </w:p>
    <w:p>
      <w:r>
        <w:rPr>
          <w:b/>
        </w:rPr>
        <w:t>E. 2.1</w:t>
      </w:r>
    </w:p>
    <w:p>
      <w:r>
        <w:t>La recourante conteste la période qui débuterait selon l’intimé le 1er novembre 2022, dans la mesure où ce dernier a modifié le calcul de ses droits dès le 1er janvier 2021 compte tenu de la réforme de la loi, mais n’a prononcé une décision que le 20 mars 2023. Elle n’avait ainsi pas pu contester sa situation ressortant du calcul avant ladite décision. Elle fait dès lors valoir le paiement de toutes les factures qu’elle a adressées à l’intimé depuis la réforme de la loi.</w:t>
      </w:r>
    </w:p>
    <w:p>
      <w:r>
        <w:t>A/2058/2023 - 8/11 -</w:t>
      </w:r>
    </w:p>
    <w:p>
      <w:r>
        <w:rPr>
          <w:b/>
        </w:rPr>
        <w:t>E. 2.2</w:t>
      </w:r>
    </w:p>
    <w:p>
      <w:r>
        <w:t>L’intimé a indiqué que la période litigieuse portait uniquement sur le poste des dépenses de frais de garde selon la modification du calcul du 1er novembre 2022 ressortant de la décision du 20 mars 2023, de sorte qu’il n’entrait pas en matière sur les factures antérieures.</w:t>
      </w:r>
    </w:p>
    <w:p>
      <w:r>
        <w:rPr>
          <w:b/>
        </w:rPr>
        <w:t>E. 3.1</w:t>
      </w:r>
    </w:p>
    <w:p>
      <w:r>
        <w:t>À titre préalable, il sied de rappeler que dans le cadre de la réforme de la LPC, entrée en vigueur le 1er janvier 2021, de nombreuses dispositions ont été modifiées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w:t>
      </w:r>
    </w:p>
    <w:p>
      <w:r>
        <w:rPr>
          <w:b/>
        </w:rPr>
        <w:t>E. 3.2</w:t>
      </w:r>
    </w:p>
    <w:p>
      <w:r>
        <w:t>En l'occurrence, en tant que la décision litigieuse porte sur les prestations complémentaires pour la période dès le 1er novembre 2022 selon l’intimé et dès le 1er janvier 2021 selon la recourante, la LPC est applicable dans sa nouvelle teneur. Les parties ne le contestent d’ailleurs pas.</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4.1</w:t>
      </w:r>
    </w:p>
    <w:p>
      <w:r>
        <w:t>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w:t>
      </w:r>
    </w:p>
    <w:p>
      <w:r>
        <w:rPr>
          <w:b/>
        </w:rPr>
        <w:t>E. 4.2</w:t>
      </w:r>
    </w:p>
    <w:p>
      <w:r>
        <w:t>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4.3</w:t>
      </w:r>
    </w:p>
    <w:p>
      <w:r>
        <w:t>Selon la jurisprudence (DTA 2001 p. 169), le juge cantonal qui estime que les faits ne sont pas suffisamment élucidés a en principe le choix entre deux</w:t>
      </w:r>
    </w:p>
    <w:p>
      <w:r>
        <w:t>A/2058/2023 - 9/11 -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w:t>
      </w:r>
    </w:p>
    <w:p>
      <w:r>
        <w:rPr>
          <w:b/>
        </w:rPr>
        <w:t>E. 5</w:t>
      </w:r>
    </w:p>
    <w:p>
      <w:r>
        <w:t>À teneur de l’art. 10 al. 3 LPC, sont reconnus comme dépenses, pour toutes les personnes les frais nets de prise en charge extrafamiliale d’enfants qui n’ont pas encore atteint l’âge de 11 ans révolus, pour autant que cette prise en charge soit nécessaire et dûment établie.</w:t>
      </w:r>
    </w:p>
    <w:p>
      <w:r>
        <w:rPr>
          <w:b/>
        </w:rPr>
        <w:t>E. 6</w:t>
      </w:r>
    </w:p>
    <w:p>
      <w:r>
        <w:t>En l’occurrence, l’intimé a admis que l’état de santé de la recourante justifiait la prise en charge extrafamiliale pour ses quatre enfants – à l’exclusion de B______ dès le 1er novembre 2022 –, dans la mesure où ces frais étaient justifiés, sans se prononcer sur la période antérieure. Le besoin d’aide de la recourante dans la prise en charge de ses cinq enfants dont le plus jeune n’a que 2 ans est établi, au demeurant, par les certificats médicaux produits par la recourante. L’intimé s’est finalement prononcé sur les frais de garde pour la période du 1er janvier 2021 au 31 octobre 2022 dans sa décision du 14 novembre 2022 (En fait A. bb.) dont il ressort que ces frais ont été admis à l’exclusion de la période de janvier à juillet 2021. La décision dont est recours vise dès lors bien la période postérieure au 1er novembre 2022, seule période encore litigieuse sur la base de la décision 20 mars 2023 confirmée sur opposition le 14 juin 2023, ce qui a pour effet de circonscrire le litige à ladite période. Au vu des conclusions prises en fin d’instruction par l’intimé lesquelles sont conformes au dossier et en particulier au besoin d’aide de garde des enfants compte tenu de l’état de santé de la recourante, la décision contestée doit être annulée, dans la mesure où elle ne tient pas compte du besoin de prise en charge extrafamiliale de la recourante pour ses quatre plus jeunes enfants dès le 1er novembre 2022. La cause doit être renvoyée au SPC pour nouvelle décision au sens des considérants. Les factures du mois de juin 2023 ayant été produites par la recourante, il conviendra d’en tenir compte dans le calcul des prestations pour ce mois-ci. La chambre de céans ne peut pas se prononcer sur les mois suivants qui ne font pas l’objet du litige.</w:t>
      </w:r>
    </w:p>
    <w:p>
      <w:r>
        <w:t>A/2058/2023 - 10/11 - La recourante obtient ainsi partiellement gain de cause. Elle a droit à une indemnité de CHF 2'000.- à titre de dépens. Pour le surplus, la procédure est gratuite.</w:t>
      </w:r>
    </w:p>
    <w:p>
      <w:r>
        <w:t>A/2058/2023 - 11/11 -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