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ATAS/360/2011 vom 6. April 2011</w:t>
      </w:r>
    </w:p>
    <w:p>
      <w:r>
        <w:t>GE Cour de justice, 2011-04-06, FR</w:t>
      </w:r>
    </w:p>
    <w:p>
      <w:r>
        <w:rPr>
          <w:b/>
        </w:rPr>
        <w:t xml:space="preserve">Quelle: </w:t>
      </w:r>
      <w:r>
        <w:t>https://mcp.opencaselaw.ch/entscheid/ge_gerichte_ATAS_360_2011</w:t>
      </w:r>
    </w:p>
    <w:p>
      <w:r>
        <w:t>FR: GE_GERICHTE ATAS/360/2011 du 6 avril 2011</w:t>
      </w:r>
    </w:p>
    <w:p>
      <w:r>
        <w:t>IT: GE_GERICHTE ATAS/360/2011 del 6 aprile 2011</w:t>
      </w:r>
    </w:p>
    <w:p>
      <w:pPr>
        <w:pStyle w:val="Heading2"/>
      </w:pPr>
      <w:r>
        <w:t>Erwägungen</w:t>
      </w:r>
    </w:p>
    <w:p>
      <w:r>
        <w:rPr>
          <w:b/>
        </w:rPr>
        <w:t>E. 1</w:t>
      </w:r>
    </w:p>
    <w:p>
      <w:r>
        <w:t>Jusqu’au 31 décembre 2010, conformément à l'art. 56 V al. 1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Le 1er janvier 2008 est entrée en force la novelle du 6 octobre 2006 (5ème révision AI).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S’agissant des modifications de la LAI du 6 octobre 2006 (5ème révision de la LAI), entrées en vigueur le 1er janvier 2008 (à l'exception de l'art. 68quater entré en vigueur rétroactivement le 1er juillet 2007), les principes de droit intertemporel commandent l'examen du bien-fondé de la décision à la lumière des anciennes dispositions de la LAI pour la période s'étendant jusqu'au 31 décembre 2007 et, le cas échéant, au regard des nouvelles dispositions de la LAI pour la période postérieure (ATF 130 V 332 consid. 2.2 et 2.3).</w:t>
      </w:r>
    </w:p>
    <w:p>
      <w:r>
        <w:rPr>
          <w:b/>
        </w:rPr>
        <w:t>E. 3</w:t>
      </w:r>
    </w:p>
    <w:p>
      <w:r>
        <w:t>Interjeté dans les forme et délai prescrits, le recours est recevable (art. 56 et 60 LPGA ; art. 89B de l a loi sur la procédure administrative, du 12 septembre 1985 (LPA ; RS E 5 10).</w:t>
      </w:r>
    </w:p>
    <w:p>
      <w:r>
        <w:rPr>
          <w:b/>
        </w:rPr>
        <w:t>E. 4</w:t>
      </w:r>
    </w:p>
    <w:p>
      <w:r>
        <w:t>Le litige porte sur le droit de la recourante à des prestations de l’assurance- invalidité, singulièrement sur le degré d’invalidité.</w:t>
      </w:r>
    </w:p>
    <w:p>
      <w:r>
        <w:t>A/3640/2010 - 7/10 -</w:t>
      </w:r>
    </w:p>
    <w:p>
      <w:r>
        <w:rPr>
          <w:b/>
        </w:rPr>
        <w:t>E. 5</w:t>
      </w:r>
    </w:p>
    <w:p>
      <w:r>
        <w:t>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Depuis le 1er janvier 2004, l'assuré a droit à une rente entière s'il est invalide à 70 % au moins, à trois quarts de rente s'il est invalide à 60 %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w:t>
      </w:r>
    </w:p>
    <w:p>
      <w:r>
        <w:rPr>
          <w:b/>
        </w:rPr>
        <w:t>E. 6</w:t>
      </w:r>
    </w:p>
    <w:p>
      <w:r>
        <w:t>Les atteintes à la santé psychique peuvent, comme les atteintes physiques, entraîner une invalidité au sens de l’art. 4 al. 1er LAI en liaison avec l’art. 8 LPGA. Parmi les atteintes à la santé psychique, qui peuvent, comme les atteintes physiques, provoquer une invalidité au sens de l’art. 4 al. 1er LAI en liaison avec l’art. 8</w:t>
      </w:r>
    </w:p>
    <w:p>
      <w:r>
        <w:t>A/3640/2010 - 8/10 -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La reconnaissance de l’existence d'une atteinte à la santé psychique suppose d’abord la présence d’un diagnostic émanant d’un expert (psychiatre) et s’appuyant lege artis sur les critères d’un système de classification reconnu (ATF 130 V 396 consid. 5.3 et consid. 6).</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w:t>
      </w:r>
    </w:p>
    <w:p>
      <w:r>
        <w:rPr>
          <w:b/>
        </w:rPr>
        <w:t>E. 8</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par ailleurs, la valeur probante d'un rapport médical, ce qui est déterminant c'est que les points litigieux aient fait l'objet d'une</w:t>
      </w:r>
    </w:p>
    <w:p>
      <w:r>
        <w:t>A/3640/2010 - 9/10 -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rPr>
          <w:b/>
        </w:rPr>
        <w:t>E. 9</w:t>
      </w:r>
    </w:p>
    <w:p>
      <w:r>
        <w:t>Enfin, il convient de rappeler que l'autorité administrative doit constater d'office les faits déterminants, c'est-à-dire toutes les circonstances dont dépend l'application des règles de droit (ATF 117 V 261 consid. 3 p. 263; T. LOCHER, Grundriss des Sozialversicherungsrecht, Bern, 2003, t. 1, p. 443). Ainsi l'administration est tenue d'ordonner une instruction complémentaire lorsque les allégations des parties et les éléments ressortant du dossier requièrent une telle mesure, et en particulier elle doit mettre en œuvre une expertise lorsqu'il paraît nécessaire de clarifier des aspects médicaux (ATF 117 V 282 consid. 4a, p. 283; RAMA 1985 p. 240 consid. 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à moins que les parties ne soient d'accord avec la seconde (ATFA I 431/02 du 8 novembre 2002).</w:t>
      </w:r>
    </w:p>
    <w:p>
      <w:r>
        <w:rPr>
          <w:b/>
        </w:rPr>
        <w:t>E. 10</w:t>
      </w:r>
    </w:p>
    <w:p>
      <w:r>
        <w:t>En l’espèce, la Cour de céans relève que suite à l’aggravation de l’état de santé de la recourante ayant nécessité une nouvelle hospitalisation en août 2010, l’intimé n’est pas en mesure de se prononcer sur sa durabilité, de sorte qu’une instruction complémentaire s’impose sur le plan psychiatrique. Dans la mesure où l’aggravation est survenue avant la décision litigieuse, la Cour de céans renverra la cause à l’intimé pour instruction complémentaire et nouvelle décision.</w:t>
      </w:r>
    </w:p>
    <w:p>
      <w:r>
        <w:rPr>
          <w:b/>
        </w:rPr>
        <w:t>E. 11</w:t>
      </w:r>
    </w:p>
    <w:p>
      <w:r>
        <w:t>La recourante, représentée par un avocat, a droit à une indemnité à titre de participation à ses frais et dépens, que la Cour fixe en l’occurrence à 1'200 fr. (art. 89H al. 3 LPA).</w:t>
      </w:r>
    </w:p>
    <w:p>
      <w:r>
        <w:rPr>
          <w:b/>
        </w:rPr>
        <w:t>E. 12</w:t>
      </w:r>
    </w:p>
    <w:p>
      <w:r>
        <w:t>L’émolument, arrêté à 500 fr, est mis à charge de l’intimé qui succombe (art. 69 a.. 1bis LAI).</w:t>
      </w:r>
    </w:p>
    <w:p>
      <w:r>
        <w:t>A/3640/2010 - 10/10 -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