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ATAS/360/2008 vom 14. März 2008</w:t>
      </w:r>
    </w:p>
    <w:p>
      <w:r>
        <w:t>GE Cour de justice, 2008-03-14, FR</w:t>
      </w:r>
    </w:p>
    <w:p>
      <w:r>
        <w:rPr>
          <w:b/>
        </w:rPr>
        <w:t xml:space="preserve">Quelle: </w:t>
      </w:r>
      <w:r>
        <w:t>https://mcp.opencaselaw.ch/entscheid/ge_gerichte_ATAS_360_2008</w:t>
      </w:r>
    </w:p>
    <w:p>
      <w:r>
        <w:t>FR: GE_GERICHTE ATAS/360/2008 du 14 mars 2008</w:t>
      </w:r>
    </w:p>
    <w:p>
      <w:r>
        <w:t>IT: GE_GERICHTE ATAS/360/2008 del 14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Interjeté dans les forme et délai légaux (art. 56 à 60 LPGA), le recours est recevable.</w:t>
      </w:r>
    </w:p>
    <w:p>
      <w:r>
        <w:t>A/2311/2007 - 8/17 -</w:t>
      </w:r>
    </w:p>
    <w:p>
      <w:r>
        <w:rPr>
          <w:b/>
        </w:rPr>
        <w:t>E. 3</w:t>
      </w:r>
    </w:p>
    <w:p>
      <w:r>
        <w:t>a)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l'espèce, la décision litigieuse, du 10 mai 2007, est postérieure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b)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Est litigieuse en l’espèce la question de savoir si le recourant peut prétendre une rente de l’assurance-invalidité, singulièrement quel est le taux d’invalidité qu’il présente et si, cas échéant, il peut se voir octroyer des mesures d’ordre professionnel.</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w:t>
      </w:r>
    </w:p>
    <w:p>
      <w:r>
        <w:t>A/2311/2007 - 9/17 -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w:t>
      </w:r>
    </w:p>
    <w:p>
      <w:r>
        <w:t>A/2311/2007 - 10/17 -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a) En l’espèce, l’intimé a repris les conclusions posées par les médecins examinateurs du SMR pour apprécier la capacité résiduelle de travail du recourant. Ce dernier conteste la valeur probante du rapport d’examen, qu’il qualifie de lacunaire, arbitraire et en totale contradiction avec les autres avis médicaux figurant au dossier. b) Le Tribunal de céans ne saurait suivre l’argumentation du recourant pour les motifs suivants. Les docteurs R________ et S________ ont procédé à un examen clinique complet de l’intéressé. Ils ont reporté leurs constatations dans leur rapport, de même que les plaintes exprimées par le recourant, ainsi que les avis des médecins qui se sont préalablement prononcés. A ce propos, il convient de rappeler que la mention des plaintes de la personne examinée et celle des avis des autres praticiens ne doit pas être confondue avec l’appréciation effectuée par les examinateurs. Le recourant semble en effet opérer une confusion entre les faits du dossier relatés par les médecins du SMR et ceux qu’ils ont estimé justifié de retenir comme relevants et établis ; relater d’autres appréciations ou constatations ne signifie par de facto les faire siennes. Les examinateurs ont en l’occurrence exposé par le détail la situation médicale de l’intéressé, prenant un soin tout particulier à discuter tant ses plaintes que les avis des autres praticiens qui ont eu l’occasion de le traiter ou de poser un avis sur certains aspects des affections dont il est (ou a été) atteint. Singulièrement, ils ont débattu les conclusions de leurs confrères et exposé de façon claire et précise pour quels motifs ils s’en écartaient, respectivement les reprenaient. Quant à leurs propres conclusions, force est de reconnaître qu’elles reposent sur des constatations objectives, se déduisent logiquement des développements qui les ont précédées et qu’elles sont au surplus expliquées à suffisance. En ce qui concerne plus précisément la problématique des troubles cognitifs, on relèvera premièrement que, contrairement à ce que soutient le recourant, la</w:t>
      </w:r>
    </w:p>
    <w:p>
      <w:r>
        <w:t>A/2311/2007 - 11/17 - psychiatre examinatrice n’a pas renoncé à procéder à un examen psychiatrique complet ; non seulement ce dernier a bien été effectué, tel que cela ressort du texte même du rapport, mais elle a par contre estimé qu’au vu de ses constatations il ne se justifiait pas de compléter les investigations au niveau neuropsychologique et notamment requérir un bilan démence complet comme le préconisaient les psychologues (non médecins) des HUG. On se doit d'ailleurs de faire preuve d’une certaine retenue eu égard aux conclusions desdits psychologues, dans la mesure où, d’une part, ils n’ont pas formellement posé de diagnostic mais établi des hypothèses et où, d’autre part, leurs rapports sont basés sur des entretiens avec l’assuré hors la présence d’un interprète - quand bien même une telle aide était préconisée dans leur premier rapport du 21 octobre 2004 - et alors que l’intéressé était sous traitement par benzodiazépines. Il ressort effectivement de la recherche scientifique relative au Demetrin - médicament prescrit à l’intéressé - que celui-ci est propre à induire des troubles de la mémoire (cf. Compendium Suisse des médicaments, Demetrin, Effets secondaires). Dès lors que les examinateurs R________ et S________ ont pu exclure, sur le vu de leurs constatations cliniques, les hypothèses émises par les neuropsychologues des HUG, c’est à juste titre que des troubles d’ordre cognitif (mnésiques ou autres) doivent être niés, ce d’autant plus qu’il ressort des rapports de neuropsychologie que d’autres examens étaient nécessaires pour les établir. Cela étant, les examinateurs ont précisé avoir pris en considération les problématiques qui pourraient interférer avec une activité simple, ne nécessitant pas d’adaptation importante, telle que celle qui semble en adéquation avec les qualifications de l’intéressé. Peut-être en aurait-il été autrement s’il s’était agi de déterminer les facultés de l’examiné à exercer une profession complexe, requérant un grand potentiel de concentration par exemple ; mais tel n’est pas le cas en l’espèce. Il ressort également du Compendium Suisse des médicaments que le Demetrin est susceptible d’engendrer des effets secondaires tels que des vertiges et des nausées. Or, le recourant se plaint justement de ce genre de troubles. A cet égard, le Tribunal de céans note que les céphalées n’ont pas été ignorées par les examinateurs. Au contraire, ils ont repris les conclusions du neurologue traitant, le docteur M__________, et estimé qu’il s’agissait de céphalées de tension. Vu que le recourant ne s’en plaignait plus lors de l’examen pratiqué au SMR, qu’il n’avait pas jugé utile de suivre le traitement de fond (amitriptyline) proposé par le neurologue, qu’il ne prenait pas non plus de médicaments spécifiques pour soigner les maux de tête (traitement anti-douleurs) et que l’ensemble des investigations neurologiques menées s’était révélé dans la norme, c’est à juste titre que les docteur R________ et S________ n’ont pas tenu compte des céphalées pour fixer la capacité de travail. Il en va de même des vertiges, qui ne sont finalement que des vertiges orthostatiques ou dus à des changements de position, en particulier lors du passage (rapide) à la position debout. Il n’y a donc aucune pathologie à retenir de ce point de vue-là non plus.</w:t>
      </w:r>
    </w:p>
    <w:p>
      <w:r>
        <w:t>A/2311/2007 - 12/17 - Quant à la symptomatologie dépressive, les examinateurs ont exposé de façon claire et convaincante pour quelles raison un trouble dépressif d’intensité suffisante pour avoir une influence sur la capacité de travail ne pouvait être établi. Sans toutefois nier une certaine souffrance chez l’intéressé qui a vécu (et vit encore) des épisodes parfois pénibles au sein de sa famille notamment, les médecins du SMR n’ont pas retrouvé l’ensemble des critères nécessaires posés par la doctrine médicale pour poser un diagnostic du registre des troubles dépressifs, ni dans le passé ni au moment de leur examen. En outre, ils ont fait mention de l’importance des facteurs psychosociaux dans le cas du recourant. Or, selon la jurisprudence, là où l'expert ne relève pour l'essentiel que des éléments qui trouvent leur explication et leur source dans le champ socioculturel ou psychosocial, il n'y a pas d'atteinte à la santé à caractère invalidant (ATF 127 V 299 consid. 5a in fine; VSI 2000 p. 155 consid. 3). Il y a lieu d’ajouter, pour conclure,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Cette hypothèse n’est cependant pas réalisée en l’espèce, comme on l’a vu ci-avant. Bien au contraire, les médecins traitants du recourant rejoignent sur plusieurs points les conclusions des médecins du SMR. L’avis du docteur L__________ ne saurait en particulier emporter une quelconque conviction, puisqu’il se contente de fixer une capacité de travail de façon péremptoire et modifie cette appréciation après reddition du rapport d’examen par les experts et introduction de la procédure de recours, sans justification aucune. Enfin, sans doute objectivement fondé sur la valeur probante des documents médicaux déjà en possession du juge ou de l’administration, une expertise complémentaire ne peut être ordonnée pour tenter de compléter la liste des diagnostics retenus. Il en résulterait en effet un allongement de la procédure et des frais tout à fait disproportionnés et sans relation aucune avec les principes de célérité, d’économie de procédure et de proportionnalité. c) Il suit de ce qui précède que le Tribunal n’a d’autre possibilité que de se fonder sur les conclusions du rapport d’examen du SMR et de conclure que le recourant a présenté une incapacité totale de travailler du 21 novembre 2005 au 15 janvier 2006, date à laquelle une reprise totale du travail, dans une activité adaptée, est raisonnablement exigible.</w:t>
      </w:r>
    </w:p>
    <w:p>
      <w:r>
        <w:t>A/2311/2007 - 13/17 -</w:t>
      </w:r>
    </w:p>
    <w:p>
      <w:r>
        <w:rPr>
          <w:b/>
        </w:rPr>
        <w:t>E. 7</w:t>
      </w:r>
    </w:p>
    <w:p>
      <w:r>
        <w:t>a) Dans un second moyen, le recourant s’en prend au calcul du taux d’invalidité, critiquant d’une part l’établissement du revenu sans invalidité et, d’autre part, celui du revenu après atteinte à la santé. b)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w:t>
      </w:r>
    </w:p>
    <w:p>
      <w:r>
        <w:t>A/2311/2007 - 14/17 -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c) En l’espèce, le recourant a travaillé de nombreuses années pour le compte de l’entreprise X_________ SA. Dans le but de déterminer sa rémunération au moment de l’ouverture éventuelle du droit aux prestations, soit en 2006, l’intimé a requis des informations de l’ancien employeur. Cette façon de faire est correcte et les renseignements obtenus pertinents, dans la mesure où rien de permet de penser que sans l’atteinte à la santé, le recourant aurait changé d’emploi. Il ressort de l’instruction menée par l’administration que le revenu annuel qu’aurait perçu l’intéressé en 2006 se monte à 60'884 fr. Contrairement à ce que prétend ce dernier, il n’y a pas lieu d’indexer ce chiffre au seul motif qu’il correspond au salaire perçu en 2003, avant la fin des rapports de travail, l’entreprise ayant précisé que les salaires de ses collaborateurs ne font pas systématiquement l’objet d’une indexation ou augmentation. Dès lors, la détermination du salaire avant invalidité par l’intimé ne procède pas d’une interprétation partiale ou arbitraire des faits de la cause, mais bien plutôt d’une application correcte de la jurisprudence (cf. ATF 129 V 224 cité plus haut). Quant au revenu avec invalidité, en l’absence de reprise d’activité du recourant, il convient de se référer aux salaires statistiques tels qu’ils découlent de l’enquête suisse sur la structure des salaires éditée par l’Office fédéral de la statistique (ESS). Les docteurs R________ et S________ ont exposé que le recourant pouvait exercer une activité légère à plein temps n’impliquant pas de port de charges supérieures à 5 kg en monomanuel gauche ou 10 kg en bimanuel, ni de trvail au dessus de 90 °. L’intéressé n’a par ailleurs pas de formation spécifique. Au regard du large éventail d'activités simples et répétitives offertes par les secteurs de la production et des services, on doit convenir qu'un marché du travail équilibré offre un nombre significatif de postes de travail légers n'exigeant ni port de charges très lourdes, ni travail en position bras levés et pouvant être occupés sans difficulté particulière par une personne atteinte d'une affection de l’épaule gauche. Selon les données de l'ESS 2006, le revenu mensuel standardisé d'un homme exerçant une activité simple et répétitive s'élevait, tous domaines confondus, à 4’732 fr. par mois (valeur médiane). Ce montant correspond, pour un horaire de travail moyen de 41,7 heures (cf. ATF 126 V 81 consid. 7a) à un salaire annuel brut, en 2006, de 59'197 fr. 30. Compte tenu, par ailleurs, de l'ensemble des circonstances du cas d'espèce (soit en</w:t>
      </w:r>
    </w:p>
    <w:p>
      <w:r>
        <w:t>A/2311/2007 - 15/17 - particulier l'âge de l'assuré, né en 1946, sa scolarité interrompue à l'âge de 14 ans, les diverses limitations posées par les médecins à son activité), qui justifient la réduction maximale de 25 % de ce salaire statistique, le revenu d'invalide peut être arrêté à 44'398 fr. Il ne se justifie nullement de retenir en sus une baisse de rendement telle que réclamée par le recourant. En effet, celle-ci n’est pas rapportée par les médecins et ne repose en définitive que sur la propre appréciation que l’intéressé fait de sa capacité de travail. En comparaison du revenu de 68’884 fr., le gain avec invalidité fait apparaître un taux d'incapacité de gain de 36 % ([68’884 - 44’398] x 100 / 68’884], qui demeure insuffisant pour lui ouvrir le droit à une rente (art. 28 al. 1 LAI), si bien que la décision de l’intimé doit être confirmée dans la mesure où elle nie le droit à des prestations de l’assurance-invalidité sous la forme d’une rente.</w:t>
      </w:r>
    </w:p>
    <w:p>
      <w:r>
        <w:rPr>
          <w:b/>
        </w:rPr>
        <w:t>E. 8</w:t>
      </w:r>
    </w:p>
    <w:p>
      <w:r>
        <w:t>a) Le recourant conclut à titre subsidiaire à l'octroi de mesures de réadaptation professionnelle. b)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 c) En l'espèce, force est de constater que le recourant, s'il remplit à l'évidence les conditions objectives mises à l'octroi d'un reclassement (nécessité d'un changement de profession, taux d'invalidité supérieur à 20 %), ne présente pas l'aptitude subjective nécessaire. En effet, non seulement il s'est opposé, par son comportement, à la mise en œuvre de mesures de réadaptation, mais il s'estime en outre totalement incapable de travailler et ce, quel que soit le type d'activité. Dans de telles circonstances, il convient de considérer que la mise en œuvre d'un reclassement professionnel, qui requiert une certaine motivation de la part de la personne concernée, n'est vraisemblablement pas de nature à sauvegarder ou améliorer les capacités de gain du recourant.</w:t>
      </w:r>
    </w:p>
    <w:p>
      <w:r>
        <w:t>A/2311/2007 - 16/17 - Cela étant, d'autres mesures d'ordre professionnel pourraient être accordées par l'intimé, comme ce dernier l'a à juste titre mentionné dans ses décisions contestées. Le recourant peut en effet s'adresser à l'OCAI pour demander l'octroi d'une aide au placement.</w:t>
      </w:r>
    </w:p>
    <w:p>
      <w:r>
        <w:rPr>
          <w:b/>
        </w:rPr>
        <w:t>E. 9</w:t>
      </w:r>
    </w:p>
    <w:p>
      <w:r>
        <w:t>Le recourant, qui succombe, plaide au bénéfice de l’assistance juridique. Dans ces circonstances, il est renoncé à la perception d’un émolument pour les frais de justice (art. 6 lett. a du règlement sur l’assistance juridique du 13 mars 1996 ; art. 69 al. 1bis LAI).</w:t>
      </w:r>
    </w:p>
    <w:p>
      <w:r>
        <w:t>A/2311/2007 - 17/17 -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