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ATAS/35/2018 vom 18. Januar 2018</w:t>
      </w:r>
    </w:p>
    <w:p>
      <w:r>
        <w:t>GE Cour de justice, 2018-01-18, FR</w:t>
      </w:r>
    </w:p>
    <w:p>
      <w:r>
        <w:rPr>
          <w:b/>
        </w:rPr>
        <w:t xml:space="preserve">Quelle: </w:t>
      </w:r>
      <w:r>
        <w:t>https://mcp.opencaselaw.ch/entscheid/ge_gerichte_ATAS_35_2018</w:t>
      </w:r>
    </w:p>
    <w:p>
      <w:r>
        <w:t>FR: GE_GERICHTE ATAS/35/2018 du 18 janvier 2018</w:t>
      </w:r>
    </w:p>
    <w:p>
      <w:r>
        <w:t>IT: GE_GERICHTE ATAS/35/2018 del 18 gennaio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4</w:t>
      </w:r>
    </w:p>
    <w:p>
      <w:r>
        <w:t>Interjeté dans la forme et le délai prévus par la loi, le recours est recevable, en vertu des art. 56ss LPGA.</w:t>
      </w:r>
    </w:p>
    <w:p>
      <w:r>
        <w:rPr>
          <w:b/>
        </w:rPr>
        <w:t>E. 5</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l’occurrence, bien que la décision querellée nie le droit à une rente d’invalidité et à des mesures professionnelles, dans son recours, l’assuré conclut à l’allocation d’une rente entière, sans revendiquer l’octroi de mesures d'ordre professionnel. Le litige se limite donc à la question de savoir si le recourant peut se voir reconnaître le droit à une rente d’invalidité.</w:t>
      </w:r>
    </w:p>
    <w:p>
      <w:r>
        <w:t>A/1253/2017 - 8/15 -</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A/1253/2017 - 9/15 -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w:t>
      </w:r>
    </w:p>
    <w:p>
      <w:r>
        <w:t>A/1253/2017 - 10/15 -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w:t>
      </w:r>
    </w:p>
    <w:p>
      <w:r>
        <w:t>A/1253/2017 - 11/15 -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I.35/03 du 24 octobre 2003 consid. 4.3 et les références, in Plädoyer 2004/3 p. 64 ; 9C_512/2013 du 16 janvier 2014 consid. 5.2.1).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A/1253/2017 - 12/15 -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w:t>
      </w:r>
    </w:p>
    <w:p>
      <w:r>
        <w:t>a. En l’espèce, la décision attaquée retient, sur la base du rapport de l’examen clinique du 30 janvier 2017, que si le recourant dispose d’une capacité de travail nulle dans son activité habituelle de carreleur depuis le 14 février 2014, il a en revanche recouvré une pleine capacité de travail s’agissant d’une activité adaptée à ses limitations fonctionnelles dès le 27 août 2014, ce que le recourant conteste, alléguant être totalement incapable d’exercer la moindre activité. b. Il convient donc d’analyser la valeur probante du rapport d’examen précité, lequel émane du Dr E______, praticien auprès du SMR. Au préalable, contrairement à ce que soutient le recourant, le simple fait que ce rapport ait été établi par un médecin du SMR, lié à l'assureur-invalidité par un rapport de travail, ne permet pas encore de douter de l'objectivité de son appréciation, ni de soupçonner une prévention à l'égard de l'assuré (ATF 125 V 351 consid. 3b/ee ; arrêt du Tribunal fédéral I.827/05 du 18 octobre 2006 consid. 3.2). Dans son arrêt de renvoi du 23 juin 2016, la Cour de céans a estimé qu’une expertise complémentaire était nécessaire. Si elle a effectivement mentionné la Clinique de réadaptation de Sion, c’était seulement à titre d’exemple. Il convient d’examiner si le rapport d’examen du Dr E______ répond aux réquisits jurisprudentiels en matière de valeur probante. À cet égard, la Cour de céans observe que ce document a été établi sur la base du dossier du recourant, d’une anamnèse comprenant un volet familial, personnel, professionnel et médical, des plaintes du recourant et de l’examen clinique effectué le 18 janvier 2017. Cela étant, les conclusions du médecin, peu étayées et incohérentes, n’emportent pas la conviction. En effet, le Dr E______, se référant au rapport du Dr C______ du 26 août 2014, conclut que le recourant dispose d’une capacité de travail entière dans une activité adaptée dès le 27 août 2014, alors que, quelques lignes plus haut, il considérait, se basant sur le même rapport ainsi que sur ceux rédigés postérieurement par les</w:t>
      </w:r>
    </w:p>
    <w:p>
      <w:r>
        <w:t>A/1253/2017 - 13/15 - médecins traitants les 7 et 29 octobre 2014, que la lombosciatalgie justifiait une incapacité de travail dans toute activité. En l’absence d’explications circonstanciées, on ne voit pas comment le recourant pourrait jouir d’une pleine capacité de travail résiduelle à partir du 27 août 2014, si s’appuyant sur des rapports médicaux établis après cette date, le Dr E______ lui-même retient que l’intéressé était incapable d’exercer la moindre activité. Qui plus est, dans son rapport du 22 février 2015, la Dresse D______ conclut à une capacité de travail située entre 50 et 100% dans une activité adaptée, et dans son rapport du 9 juin 2015, le Dr C______ retient, une capacité de travail résiduelle de 50% dès septembre 2014. Force est de constater que les avis des médecins traitants et celui du médecin SMR diffèrent s’agissant de la capacité de travail à retenir dans une activité adaptée et de la date à partir de laquelle celle-ci serait exigible. Or, le Dr E______ ne discute pas ces divers éléments, alors qu’il lui appartenait d’étayer son point de vue divergent. On attendait également de l’examinateur du SMR qu’il prenne position par rapport aux observations concrètes de la Fondation PRO, ce qu’il n’a pas fait, contrairement à ce que soutient l’intimé, puisque le Dr E______ se borne à indiquer la durée du stage, le rendement en qualité et en temps observé ainsi que les activités réalisées. Même si l’avis dûment motivé d’un médecin - ce qui n’est manifestement pas le cas en l’espèce - prime pour déterminer la capacité de travail raisonnablement exigible de l’assuré, il y a lieu de rappeler qu’à l’issue du stage d'observation professionnelle, les responsables sont arrivés à la conclusion que, quand bien même le recourant s’était engagé à 100%, un déficit significatif au niveau de l’endurance et de la résistance physique avait été noté, mettant également en exergue que ce dernier devait continuellement changer d’activité et de position, en raison des douleurs qui se manifestaient après une heure de travail et du fait qu’il se crispait de plus en plus (visage tendu, tremblements). Sur la base de ces éléments, la Cour de céans considère que le rapport du Dr E______ ne peut se voir reconnaître pleine valeur probante. c. Cependant, contrairement à ce que souhaiterait le recourant, on ne saurait se baser sur les seuls rapports des Drs D______ et F______ des 20 septembre et 6 octobre 2016 pour retenir que sa capacité de travail est nulle dans toute activité. En effet, les dits rapports apparaissent eux aussi insuffisamment motivés. d. À ce stade, faute d'une analyse exhaustive de la situation médicale du recourant, notamment au vu du rapport d’observation professionnelle et du rapport lacunaire du Dr E______, l’intimé ne pouvait faire l'économie d'une mesure d'instruction complémentaire. Pour ces motifs, il se justifie de lui renvoyer une nouvelle fois la cause pour qu'il mette en œuvre une expertise médicale indépendante selon l’art. 44 LPGA, dès lors que des doutes subsistent quant à la fiabilité et à la pertinence des constatations médicales effectuées par le service médical interne de l'assurance (arrêt du Tribunal fédéral 9C_500/2011 du 26 mars 2012 consid. 3.1).</w:t>
      </w:r>
    </w:p>
    <w:p>
      <w:r>
        <w:t>A/1253/2017 - 14/15 -</w:t>
      </w:r>
    </w:p>
    <w:p>
      <w:r>
        <w:rPr>
          <w:b/>
        </w:rPr>
        <w:t>E. 12</w:t>
      </w:r>
    </w:p>
    <w:p>
      <w:r>
        <w:t>a. La Cour de céans rappelle, par économie de procédure - puisque la critique formulée ci-après est indépendante de la capacité de travail qui sera retenue par l’expert - que, pour calculer le degré d’invalidité, il convient de se placer au moment de la naissance du droit à la rente (arrêt du Tribunal fédéral 9C_484/2016 du 10 février 2017 consid. 4.1), soit à l’échéance du délai d’attente d’une année (art. 28 al. 1 let. b LAI). b. En l’espèce, dès lors qu’il a été établi que le recourant se trouve, depuis le</w:t>
      </w:r>
    </w:p>
    <w:p>
      <w:r>
        <w:rPr>
          <w:b/>
        </w:rPr>
        <w:t>E. 14</w:t>
      </w:r>
    </w:p>
    <w:p>
      <w:r>
        <w:t>février 2014 dans l’incapacité d’exercer une activité lucrative à plus de 40%, le délai d’attente d’un an est parvenu à échéance le 14 février 2015. C’est donc en 2015 - et non en 2014, comme retenu à tort par l’intimé - qu’il conviendra de se placer pour procéder à la comparaison des revenus. 13. Au vu de ce qui précède, le recours est partiellement admis, la décision litigieuse annulée et la cause renvoyée à l’intimé pour instruction complémentaire au sens des considérants et nouvelle décision. Le recourant, représenté, obtenant gain de cause, une indemnité de CHF 3’000.- lui sera accordée à titre de participation à ses frais et dépens (art. 61 let. g LPGA ; art. 6 du règlement sur les frais, émoluments et indemnités en matière administrative du 30 juillet 1986 [RFPA – RS/GE E 5 10.03]). Étant donné que, depuis le 1er juillet 2006, la procédure n'est plus gratuite (art. 69 al. 1bis LAI), au vu du sort du recours, il y a lieu de condamner l'intimé au paiement d'un émolument de CHF 200.-.</w:t>
      </w:r>
    </w:p>
    <w:p>
      <w:r>
        <w:t>A/1253/2017 - 15/15 -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