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ATAS/359/2022 vom 21. April 2022</w:t>
      </w:r>
    </w:p>
    <w:p>
      <w:r>
        <w:t>GE Cour de justice, 2022-04-21, FR</w:t>
      </w:r>
    </w:p>
    <w:p>
      <w:r>
        <w:rPr>
          <w:b/>
        </w:rPr>
        <w:t xml:space="preserve">Quelle: </w:t>
      </w:r>
      <w:r>
        <w:t>https://mcp.opencaselaw.ch/entscheid/ge_gerichte_ATAS_359_2022</w:t>
      </w:r>
    </w:p>
    <w:p>
      <w:r>
        <w:t>FR: GE_GERICHTE ATAS/359/2022 du 21 avril 2022</w:t>
      </w:r>
    </w:p>
    <w:p>
      <w:r>
        <w:t>IT: GE_GERICHTE ATAS/359/2022 del 21 aprile 2022</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w:t>
      </w:r>
    </w:p>
    <w:p>
      <w:r>
        <w:rPr>
          <w:b/>
        </w:rPr>
        <w:t>E. 6</w:t>
      </w:r>
    </w:p>
    <w:p>
      <w:r>
        <w:t>En ce qui concerne les exceptions au principe de la restitution, l'art. 25 al. 1 LPGA prévoit que les prestations indûment touchées doivent être restituées.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(arrêt du Tribunal fédéral 8C_364/2019 du 9 juillet 2020 consid. 4.1). On précisera encore que selon l'art. 4 al. 4 de l'ordonnance fédérale sur la partie générale du droit des assurances sociales du</w:t>
      </w:r>
    </w:p>
    <w:p>
      <w:r>
        <w:rPr>
          <w:b/>
        </w:rPr>
        <w:t>E. 11</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w:t>
      </w:r>
    </w:p>
    <w:p>
      <w:r>
        <w:rPr>
          <w:b/>
        </w:rPr>
        <w:t>E. 12.1</w:t>
      </w:r>
    </w:p>
    <w:p>
      <w:r>
        <w:t>En l’espèce, à teneur des pièces du dossier, la caisse de pension Gastrosocial a informé le SPC, en date du 7 décembre 2018, des prestations qu’elle allait octroyer à l’épouse du recourant, rétroactivement au 1er janvier 2018 et les arriérés de la rente ont été versés, en date du 29 mars 2019, sur le compte joint du recourant et de son épouse à hauteur de CHF 26'226.-.</w:t>
      </w:r>
    </w:p>
    <w:p>
      <w:r>
        <w:t>A/2850/2021 - 9/15 - In casu, la décision sur opposition de restitution rendue par le SPC est datée du</w:t>
      </w:r>
    </w:p>
    <w:p>
      <w:r>
        <w:rPr>
          <w:b/>
        </w:rPr>
        <w:t>E. 12.2</w:t>
      </w:r>
    </w:p>
    <w:p>
      <w:r>
        <w:t>Selon les allégations du recourant, ce dernier ne disposait plus du capital versé par Gastrosocial, au moment de l’entrée en force de la décision de restitution en octobre 2020, car il avait dû, notamment, rembourser, en deux paiements cash de CHF 5'000.- chacun, sa créancière, Mme B______.</w:t>
      </w:r>
    </w:p>
    <w:p>
      <w:r>
        <w:rPr>
          <w:b/>
        </w:rPr>
        <w:t>E. 12.3</w:t>
      </w:r>
    </w:p>
    <w:p>
      <w:r>
        <w:t>Le point de savoir si l'assuré se trouve dans une situation difficile dépend de sa situation au moment où la prestation doit être restituée, c'est-à-dire au moment où la décision de restitution est exécutoire (cf. jurisprudence susmentionnée et référence citée, formalisée à l'art. 4 al. 2 OPGA). Il s'ensuit que l'assuré est en principe tenu à restitution s'il disposait encore du capital versé à titre rétroactif au moment où la restitution devait avoir lieu. À ce sujet le TFA a précisé qu'il ne se justifie pas de s'écarter de l'art. 4 OPGA au motif que l'assuré pourrait compromettre la restitution en se dessaisissant du capital versé à titre rétroactif. Il convient plutôt, en cas de diminution de patrimoine avant l'entrée en force de la décision de restitution, d'en examiner les raisons. S'il s'avère que l'assuré a renoncé à des éléments de fortune sans obligation juridique ou sans en avoir reçu, en échange, une contre prestations équivalente, le patrimoine dont il s'est dessaisi devrait être traité comme s'il en avait encore la maîtrise effective, en application par analogie des règles sur le dessaisissement de fortune (cf. ATF du 20 janvier 2007 cité plus haut consid. 5.3.4).</w:t>
      </w:r>
    </w:p>
    <w:p>
      <w:r>
        <w:rPr>
          <w:b/>
        </w:rPr>
        <w:t>E. 12.4</w:t>
      </w:r>
    </w:p>
    <w:p>
      <w:r>
        <w:t>Cette situation a été réglée par l’entrée en vigueur, le 1er janvier 2021, du nouvel art. 11a al. 3 LPC fixant une limite de dépenses annuelles admissibles pour une personne bénéficiant de prestations complémentaires, en l’absence d’un motif important. En l’état, le débit du montant de CHF 25'000.- ayant eu lieu en avril 2019, l’art. 11a al. 3 LPC ne s’applique pas de manière rétroactive et il sied donc de se référer à la jurisprudence concernant le dessaisissement</w:t>
      </w:r>
    </w:p>
    <w:p>
      <w:r>
        <w:rPr>
          <w:b/>
        </w:rPr>
        <w:t>E. 12.5</w:t>
      </w:r>
    </w:p>
    <w:p>
      <w:r>
        <w:t>Par dessaisissement, il faut entendre, en particulier, la renonciation à des éléments de revenu ou de fortune sans obligation juridique, ni contre-prestation équivalente (ATF 123 V 35 consid. 1 ; ATF 121 V 204 consid. 4a). Pour vérifier s'il y a contre-prestation équivalente et pour fixer la valeur d'un éventuel dessaisissement, il faut comparer la prestation et la contre-prestation à leurs valeurs respectives au moment de ce dessaisissement (ATF 120 V 182 consid. 4b ; arrêt du Tribunal fédéral 9C_67/2011 du 29 août 2011 consid. 5.1). Il y a également dessaisissement lorsque le bénéficiaire a droit à certains éléments de revenu ou de fortune, mais n'en fait pas usage ou s'abstient de faire valoir ses</w:t>
      </w:r>
    </w:p>
    <w:p>
      <w:r>
        <w:t>A/2850/2021 - 10/15 - prétentions, ou encore lorsqu'il renonce à exercer une activité lucrative possible pour des raisons dont il est seul responsable (ATF 123 V 35 consid. 1).</w:t>
      </w:r>
    </w:p>
    <w:p>
      <w:r>
        <w:rPr>
          <w:b/>
        </w:rPr>
        <w:t>E. 12.6</w:t>
      </w:r>
    </w:p>
    <w:p>
      <w:r>
        <w:t>Pour qu'un dessaisissement de fortune puisse être pris en compte dans le calcul des prestations complémentaires, la jurisprudence soumet cet acte à la condition qu'il ait été fait « sans obligation juridique », respectivement « sans avoir reçu en échange une contre-prestation équivalente ». Les deux conditions précitées ne sont pas cumulatives, mais alternatives. La question de savoir si la renonciation à un élément de fortune en accomplissement d'un devoir moral constitue un dessaisissement de fortune au sens de l'art. 3c al. 1 let. g aLPC, a été laissée ouverte (ATF 131 V 329 consid. 4.2 à 4.4). Il y a lieu de prendre en compte dans le revenu déterminant tout dessaisissement sans limite de temps (Pierre FERRARI, Dessaisissement volontaire et prestations complémentaires à l'AVS/AI in RSAS 2002, p. 420).</w:t>
      </w:r>
    </w:p>
    <w:p>
      <w:r>
        <w:rPr>
          <w:b/>
        </w:rPr>
        <w:t>E. 12.7</w:t>
      </w:r>
    </w:p>
    <w:p>
      <w:r>
        <w:t>Une contre-prestation peut être considérée comme adéquate lorsqu'elle n'entame pas la fortune ou au contraire l'augmente, mais également lorsqu'elle consiste en des dépenses destinées à l'acquisition de biens qui sont entièrement consommés après acquisition et ne font donc plus partie du patrimoine (voyages touristiques, sorties au restaurant, habits de luxe, etc. ; Ralph JÖHL, Patricia USINGER-EGGER, op. cit. p. 1861 n. 177). Le Tribunal fédéral a considéré qu'il n'y avait pas dessaisissement dans le cas d'une assurée ayant épuisé sa fortune après avoir vécu dans un certain luxe (ATF 115 V 352 consid. 5b et 5c). L'existence d'un dessaisissement de fortune ne peut être admise que si l'assuré renonce à des biens sans obligation légale, ni contre-prestation adéquate. Lorsque cette condition n'est pas réalisée, la jurisprudence considère qu'il n'y a pas lieu de tenir compte d'une fortune (hypothétique) dans le calcul de la prestation complémentaire, même si l'assuré a pu vivre au-dessus de ses moyens avant de requérir une telle prestation. En effet, il n'appartient pas aux organes compétents en matière de prestations complémentaires de procéder à un contrôle du mode de vie des assurés, ni d'examiner si l'intéressé s'est écarté d'une ligne que l'on pourrait qualifier de « normale » et qu'il faudrait au demeurant préciser. Il convient bien plutôt de se fonder sur les circonstances concrètes, à savoir le fait que l'assuré ne dispose pas des moyens nécessaires pour subvenir à ses besoins vitaux, et - sous réserve des restrictions découlant de l'art. 11 al. 1 let. g LPC - de ne pas se préoccuper des raisons de cette situation (VSI 1994 p. 225 s. consid. 3b ; arrêt du Tribunal fédéral des assurances P 65/04 du 29 août 2005 consid. 5.3.1). On relèvera enfin que la jurisprudence du TFA en matière de biens dessaisis s’applique mutatis mutandis en matière de prestations complémentaires cantonales.</w:t>
      </w:r>
    </w:p>
    <w:p>
      <w:r>
        <w:t>A/2850/2021 - 11/15 - 13.</w:t>
      </w:r>
    </w:p>
    <w:p>
      <w:r>
        <w:t>13.1 En l’espèce, à la lecture des relevés bancaires du compte joint UBS, fournis par le recourant, on observe, notamment, les retraits en cash des montants suivants :</w:t>
      </w:r>
    </w:p>
    <w:p>
      <w:r>
        <w:t>Date valeur</w:t>
      </w:r>
    </w:p>
    <w:p>
      <w:r>
        <w:t>Montant (CHF) 04.04.19</w:t>
      </w:r>
    </w:p>
    <w:p>
      <w:r>
        <w:t>1'000.- 05.04.19</w:t>
      </w:r>
    </w:p>
    <w:p>
      <w:r>
        <w:t>25'000.- 16.09.19</w:t>
      </w:r>
    </w:p>
    <w:p>
      <w:r>
        <w:t>3'000.- 19.12.19</w:t>
      </w:r>
    </w:p>
    <w:p>
      <w:r>
        <w:t>4'000.- 16.06.20</w:t>
      </w:r>
    </w:p>
    <w:p>
      <w:r>
        <w:t>4'000.- 12.11.20</w:t>
      </w:r>
    </w:p>
    <w:p>
      <w:r>
        <w:t>1'000.- 19.11.20</w:t>
      </w:r>
    </w:p>
    <w:p>
      <w:r>
        <w:t>3'000.- 28.12.20</w:t>
      </w:r>
    </w:p>
    <w:p>
      <w:r>
        <w:t>1'000.- Dans son complément à l’acte de recours du 11 novembre 2021, le recourant expose avoir l’habitude de payer une part des dépenses en cash et de retirer, en une fois, plusieurs milliers de francs, pour payer au fur et à mesure ses dépenses avec cet argent. Ces explications concordent avec les retraits des montants allant de CHF 1'000.- à CHF 4'000.- mentionnés supra. Toutefois, il ressort très clairement de l’examen des relevés que le retrait du montant de CHF 25'000.-, en date du 5 avril 2019, ne correspond pas aux habitudes de paiement du recourant et peut être considéré comme insolite. 13.2 Dans son opposition du 1er juin 2021, le recourant explique ce retrait par la nécessité de rembourser une dette de CHF 10'000.- contractée à l’égard de Mme B______. Il avait, toutefois exposé auparavant, dans un courrier du 16 février 2021, que le montant versé par Gastrosocial avait été utilisé pour rembourser « des prêts privés à des tiers ». On observe ainsi une contradiction dans les explications du recourant qui, dans un premier temps, a justifié la disparition du montant versé par Gastrosocial par le remboursement de dettes auprès de tiers, ce qui implique nécessairement l’existence de plusieurs créanciers, alors que par la suite, il ne déclare plus qu’un seul créancier, en la personne de Mme B______.</w:t>
      </w:r>
    </w:p>
    <w:p>
      <w:r>
        <w:t>A/2850/2021 - 12/15 - Il sied de relever également que l’existence prétendue de dettes à l’égard de tiers ne ressort pas des pièces fiscales communiquées par le mandataire du recourant pour les années 2016 à 2019. L’unique pièce fournie par le recourant à l’appui de ses allégations consiste en l’attestation remise par Mme B______, faisant état du remboursement en deux fois, de la dette de CHF 10'000.- sans toutefois mentionner à quel moment le prêt avait été accordé. Il n’est pas courant qu’un prêt d’un montant si important, même consenti entre amis, ne s’accompagne pas d’une reconnaissance de dette écrite. Il n’est pas non plus courant qu’un tel prêt, s’il est destiné à régler des factures comme cela est allégué, ne soit pas effectué par un virement bancaire, dès lors que les factures sont généralement payées par le débit d’un compte bancaire. Les explications du recourant au sujet de ce prêt ont également varié. Dans un premier temps, il a expliqué que le retrait de CHF 25'000.- était destiné à rembourser le prêt de 10'000.-. Puis confronté par le SPC au texte de l’attestation qui mentionnait un remboursement en deux fois, il a changé de version, déclarant avoir remboursé le prêt à hauteur de CHF 5'000.- dans un premier temps puis, après avoir fait une série de dépenses ménagères et personnelles, avoir remboursé le solde du prêt, dans un deuxième temps. L’expérience de la vie démontre qu’un remboursement en deux temps est souvent motivé par le fait que le débiteur n’est pas en possession de l’intégralité de la somme lui permettant de rembourser sa dette en un seul trait, raison pour laquelle il rembourse en plusieurs fois, généralement sur plusieurs mois, au fur et à mesure des rentrées d’argent provenant d’une activité lucrative. On peine à comprendre les raisons pour lesquelles, alors que le recourant possédait l’intégralité de la somme prétendument due, soit CHF 10'000.-, il aurait fait un retrait d’un montant de CHF 25'000.-, soit bien supérieur au montant du prêt, pour ensuite rembourser le montant du prêt en deux fois. En l’absence d’un acte de reconnaissance de dette, de pièces bancaires documentant le virement du montant du prêt et de pièces bancaires ou manuscrites documentant le remboursement de la dette, et compte tenu des contradictions et variations des explications données par le recourant, l’existence de la dette d’un montant de CHF 10'000.- ne peut pas être retenue par la chambre de céans, au degré de la vraisemblance prépondérante. Dès lors, il sera admis que le recourant s’est dessaisi d’un montant de CHF 10'000.- sans obligation juridique et/ou sans contre-prestation équivalente. 13.3 S’agissant de l’utilisation du solde du montant de CHF 25'000.-, soit CHF 15'000.-, le recourant a exposé dans son recours avoir effectué prioritairement les achats dont son épouse et lui s’étaient privés pendant de nombreuses années, pour améliorer leur confort, et pour effectuer des dépenses</w:t>
      </w:r>
    </w:p>
    <w:p>
      <w:r>
        <w:t>A/2850/2021 - 13/15 - ordinaires telles que des habits, des repas, des meubles, afin d’améliorer leur quotidien. Ces allégations ne sont pas non plus documentées, aucune facture ou garantie n’ayant été produite, alors même que pour l’achat de meubles, ou d’électroménager, on conserve généralement la facture, dès lors que ces objets sont souvent vendus avec une garantie. En revanche, en ce qui concerne l’achat de produits ménagers courants, de vêtements, de repas au restaurant ou de divertissement, il n’est pas courant de garder des preuves des paiements. On peine à comprendre les raisons pour lesquelles le recourant aurait décidé de retirer, en cash, un montant aussi important que CHF 25'000.- pour des dépenses qu’il qualifie, lui-même, de confort ou d’achats courant. Néanmoins, il n’est pas exclu que le recourant ait utilisé une partie de cette somme pour améliorer son ordinaire, ce qui, selon la jurisprudence du TFA, ne peut pas être considéré comme un dessaisissement. En effet, dans l'arrêt non publié K. du 10 mai 1983 (mais cité partiellement dans l’ATF 115 V 352 consid. 5b et 5c), le TFA a nié un cas d'application au sens de l’ancien art. 3 al. 1 let. f LPC (soit l’art. 11 al. 1 let. g LPC dans le cas présent) dans le cas similaire d'un bénéficiaire d'une rente de vieillesse qui avait vécu modestement jusqu'alors, auquel l'employeur avait versé un capital au moment de la retraite et qui avait dépensé une partie de sa fortune pour des voyages à l'étranger, des soins dentaires, des achats et des repas pris à l'extérieur, et a déclaré à ce sujet : « L'expérience de la vie enseigne qu'un tel comportement est fréquent dans des situations de ce genre et même si le recourant devait être taxé d'imprévoyance, on ne saurait dire pour autant qu'il ait manifesté une intention dolosive au sens des principes rappelés plus haut. Au demeurant, en édictant l'art. 3 al. 1 let. f LPC, le législateur n'a sans doute pas voulu sanctionner l'assuré prodigue. Il s'agissait avant tout d'empêcher qu'un assuré se dessaisisse de tout ou partie de ses biens au profit d'un tiers, sans obligation juridique et de manière à diminuer le revenu déterminant le droit aux prestations complémentaires et leur montant. Mais l'assuré qui dépense sa fortune pour acquérir des biens de consommation, ou pour améliorer son train de vie, use de sa liberté personnelle et ne saurait tomber sous le coup de cette disposition ». Cette jurisprudence, bien qu’ancienne, est toujours d’actualité et a été confirmée dans un récent arrêt du Tribunal fédéral 9C_377/2021, consid. 3.2.2. Compte tenu de ce qui précède, la chambre de céans considère qu’il est vraisemblable qu’une partie du montant versé par Gastrosocial ait été utilisée par le recourant et son épouse pour améliorer leur ordinaire et s’acheter des biens qu’ils n’avaient pas les moyens de s’offrir auparavant.</w:t>
      </w:r>
    </w:p>
    <w:p>
      <w:r>
        <w:t>A/2850/2021 - 14/15 - Par conséquent, sur le montant de CHF 25'000.- retiré par le recourant en date du 5 avril 2019, seul le montant de CHF 10'000.-, prétendument destiné à rembourser une dette, doit être considéré comme étant un dessaisissement sans contre- prestation. 14. À l’aune de ce qui précède, la cause sera retournée au SPC pour qu’il se prononce sur la demande de remise de l’obligation de rembourser le montant de CHF 21'230.-, en tenant compte uniquement d’un dessaisissement à hauteur de CHF 10'000.-, en lieu et place du dessaisissement de CHF 25'000.- qu’il a retenu, étant rappelé que la condition de la bonne foi qui n’a pas été abordée dans la décision querellée devra également être examinée. 15. Le recourant, assisté par un mandataire professionnellement qualifié et obtenant partiellement gain de cause, a ainsi droit à une indemnité à titre de participation à ses frais et dépens, que la chambre de céans fixera à CHF 1’500.- (art. 61 let. g LPGA ; art. 89H al. 3 LPA ; art. 6 du règlement sur les frais, émoluments et indemnités en procédure administrative du 30 juillet 1986 [RFPA - E 5 10.03]). 16. Pour le surplus, la procédure est gratuite (art. 61 let. a LPGA, dans sa version – applicable en l’occurrence – en vigueur jusqu’au 31 décembre 2020 en lien avec l’art. 1 al. 1 de la loi fédérale sur l'assurance-chômage obligatoire et l'indemnité en cas d'insolvabilité du 25 juin 1982 [loi sur l’assurance-chômage, LACI - RS 837.0]).</w:t>
      </w:r>
    </w:p>
    <w:p>
      <w:r>
        <w:t>A/2850/2021 - 15/15 - PAR CES MOTIFS, LA CHAMBRE DES ASSURANCES SOCIALES : Statuant À la forme :</w:t>
      </w:r>
    </w:p>
    <w:p>
      <w:r>
        <w:rPr>
          <w:b/>
        </w:rPr>
        <w:t>E. 17</w:t>
      </w:r>
    </w:p>
    <w:p>
      <w:r>
        <w:t>septembre 2020 et est entrée en force pendant la deuxième quinzaine du mois d’octobre 2020. Il s’agit donc bien d’un cas de versement d’arriérés tel que visé supra qui empêche, en principe, le recourant d’invoquer une charge trop lourde.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