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ATAS/359/2020 vom 5. Mai 2020</w:t>
      </w:r>
    </w:p>
    <w:p>
      <w:r>
        <w:t>GE Cour de justice, 2020-05-05, FR</w:t>
      </w:r>
    </w:p>
    <w:p>
      <w:r>
        <w:rPr>
          <w:b/>
        </w:rPr>
        <w:t xml:space="preserve">Quelle: </w:t>
      </w:r>
      <w:r>
        <w:t>https://mcp.opencaselaw.ch/entscheid/ge_gerichte_ATAS_359_2020</w:t>
      </w:r>
    </w:p>
    <w:p>
      <w:r>
        <w:t>FR: GE_GERICHTE ATAS/359/2020 du 5 mai 2020</w:t>
      </w:r>
    </w:p>
    <w:p>
      <w:r>
        <w:t>IT: GE_GERICHTE ATAS/359/2020 del 5 maggio 2020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Enfin, les autres critiques du recourant à l'encontre de l'intimée et plus particulièrement à l'égard de l'un de ses collaborateurs ne sont pas justifiées non plus. En effet, les démarches téléphoniques entreprises par le collaborateur en question, auprès de l'assuré, n'avaient rien de critiquable : avant lui, plusieurs autres collaboratrices de l'intimée avaient procédé de la même manière; par rapport à un cas qui ne présentait pas de difficultés particulières, dont l'évolution avait rapidement été favorable, la gestion de ce sinistre de cette manière-là était pleinement justifiée. La chambre de céans constate à ce sujet que l'instruction du dossier respectait pleinement les exigences de l'art. 43 al. 1 LPGA qui prévoit que</w:t>
      </w:r>
    </w:p>
    <w:p>
      <w:r>
        <w:t>A/2113/2019 - 20/21 - l'assureur examine les demandes, prend d’office les mesures d’instruction nécessaires et recueille les renseignements dont il a besoin; et que les renseignements donnés oralement doivent être consignés par écrit.</w:t>
      </w:r>
    </w:p>
    <w:p>
      <w:r>
        <w:rPr>
          <w:b/>
        </w:rPr>
        <w:t>E. 11</w:t>
      </w:r>
    </w:p>
    <w:p>
      <w:r>
        <w:t>Au vu de ce qui précède, le recours, entièrement mal fondé, est rejeté.</w:t>
      </w:r>
    </w:p>
    <w:p>
      <w:r>
        <w:rPr>
          <w:b/>
        </w:rPr>
        <w:t>E. 12</w:t>
      </w:r>
    </w:p>
    <w:p>
      <w:r>
        <w:t>Pour le surplus, la procédure est gratuite (art. 61 let. a LPGA).</w:t>
      </w:r>
    </w:p>
    <w:p>
      <w:r>
        <w:t>A/2113/2019 - 21/21 -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