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ATAS/359/2009 vom 25. September 2008</w:t>
      </w:r>
    </w:p>
    <w:p>
      <w:r>
        <w:t>GE Cour de justice, 2008-09-25, FR</w:t>
      </w:r>
    </w:p>
    <w:p>
      <w:r>
        <w:rPr>
          <w:b/>
        </w:rPr>
        <w:t xml:space="preserve">Quelle: </w:t>
      </w:r>
      <w:r>
        <w:t>https://mcp.opencaselaw.ch/entscheid/ge_gerichte_ATAS_359_2009</w:t>
      </w:r>
    </w:p>
    <w:p>
      <w:r>
        <w:t>FR: GE_GERICHTE ATAS/359/2009 du 25 septembre 2008</w:t>
      </w:r>
    </w:p>
    <w:p>
      <w:r>
        <w:t>IT: GE_GERICHTE ATAS/359/2009 del 25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août 1990, d’autre part le 1er novembre 20908, date à laquelle le jugement de divorce est devenu exécutoire.</w:t>
      </w:r>
    </w:p>
    <w:p>
      <w:r>
        <w:rPr>
          <w:b/>
        </w:rPr>
        <w:t>E. 4</w:t>
      </w:r>
    </w:p>
    <w:p>
      <w:r>
        <w:t>Selon les documents produits, la prestation acquise pendant le mariage par le demandeur est de 1'648 fr. 50, tandis que celle acquise par la demanderesse est de 428'918 fr. (493'935 fr. 85 - 65'017 fr. 85), les intérêts ayant déjà été calculés par les institutions de prévoyance défenderesses.</w:t>
      </w:r>
    </w:p>
    <w:p>
      <w:r>
        <w:t>A/4056/2008 4/5 Il y a lieu de préciser, s'agissant des périodes durant lesquelles le demandeur a été mis au bénéfice d'indemnités de l'assurance-chômage, que seuls les risques de décès et d'invalidité sont couverts à ce moment-là (Ordonnance sur la prévoyance professionnelle obligatoire des chômeurs du 3 mars 1997). Ainsi le demandeur doit à son ex-épouse le montant de 824 fr. 25 (1'648 fr. 50 : 2) et celle-ci doit à celui-là le montant de 214'459 fr. (428'918 fr. : 2), de sorte que c’est la demanderesse qui doit à son ex-époux le montant de 213'634 fr.75.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A/4056/2008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