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ATAS/358/2026 vom 28. April 2026</w:t>
      </w:r>
    </w:p>
    <w:p>
      <w:r>
        <w:t>GE Cour de justice, 2026-04-28, FR</w:t>
      </w:r>
    </w:p>
    <w:p>
      <w:r>
        <w:rPr>
          <w:b/>
        </w:rPr>
        <w:t xml:space="preserve">Quelle: </w:t>
      </w:r>
      <w:r>
        <w:t>https://mcp.opencaselaw.ch/entscheid/ge_gerichte_ATAS_358_2026</w:t>
      </w:r>
    </w:p>
    <w:p>
      <w:r>
        <w:t>FR: GE_GERICHTE ATAS/358/2026 du 28 avril 2026</w:t>
      </w:r>
    </w:p>
    <w:p>
      <w:r>
        <w:t>IT: GE_GERICHTE ATAS/358/2026 del 28 aprile 2026</w:t>
      </w:r>
    </w:p>
    <w:p>
      <w:pPr>
        <w:pStyle w:val="Heading2"/>
      </w:pPr>
      <w:r>
        <w:t>Erwägungen</w:t>
      </w:r>
    </w:p>
    <w:p>
      <w:r>
        <w:rPr>
          <w:b/>
        </w:rPr>
        <w:t>E. 19</w:t>
      </w:r>
    </w:p>
    <w:p>
      <w:r>
        <w:t>septembre 2025 de l’OAI. Elle a conclu, préalablement, à son audition et à celle du Dr F______ et a demandé qu’une expertise médicale psychiatrique soit ordonnée. Sur le fond, elle a conclu à l’annulation de la décision querellée ainsi qu’à l’octroi d’une rente entière d’invalidité non limitée dans le temps, dès le 1er juillet 2023, assortie de la rente pour enfant, avec intérêts moratoires à 5% l’an sur les arriérés, dès le 24e mois suivant l’exigibilité. Elle considérait que les conclusions du rapport d’expertise du Dr G______ étaient en contradiction avec les appréciations de ses médecins traitants. Elle constatait également que la seule fois où elle avait occupé un poste à un taux aussi élevé que celui proposé par le Dr G______ soit 80%, c’était en 2015 – 2016, en qualité d’architecte stagiaire et elle s’était retrouvée rapidement dépassée après quoi son contrat n’avait pas été renouvelé. Le Dr F______ et la psychologue H______ considéraient tout deux que sa capacité de travail était bien inférieure à 80% et le Dr G______ n’expliquait pas les raisons pour lesquelles il se distançait de l’appréciation du psychiatre traitant et de la psychologue. Il n’expliquait pas non plus pour quelles raisons il fixait à janvier 2024 la date à partir de laquelle l’assurée bénéficiait d’une capacité de travail résiduel de 80%. De plus, il sous-estimait les symptômes et les conséquences des troubles dont elle souffrait. S’agissant de la comparaison des gains effectuée par l’OAI, les activités retenues par ce dernier n’étaient ni simples, ni légères et étaient donc en contradiction avec les recommandations des médecins, y compris celles de l’expert G______. L’assurée ne pouvait pas travailler dans son domaine de formation, à savoir l’architecture, il fallait donc retenir la ligne correspondant au salaire total du tableau TA1_tirage_skill_level des statistiques ESS et non pas les lignes 69 à 71. Ce faisant, après comparaison des revenus, en tenant compte d’une capacité de travail de 50% après abattement de 20%, on parvenait à un revenu annuel brut avec invalidité de CHF 21'625.-, donnant droit à une rente entière. Si, par hypothèse, on retenait le taux de capacité de travail estimé par l’OAI de 80%, on parvenait à un revenu annuel brut avec invalidité de CHF 38’925.80 correspondant à un degré d’invalidité de 51%, soit une rente de 51%. b. Par réponse du 14 novembre 2025, l’OAI a considéré que, dans le doute et en présence d’avis médicaux contradictoires, il fallait se fonder sur le rapport d’expertise du Dr G______ car les constatations du Dr F______ ne concordaient pas avec la réalité de l’assurée qui assumait un emploi, depuis maintenant près de</w:t>
      </w:r>
    </w:p>
    <w:p>
      <w:r>
        <w:t>A/3630/2025 - 6/24 - deux ans, à un taux aujourd’hui de 50%. Les conclusions du rapport d’expertise étaient cohérentes avec la situation de vie décrite par l’assurée et les activités préservées. La recourante ne développait aucun élément objectivable sérieux permettant de remettre en cause l’appréciation détaillée de l’expert. Partant, l’expertise devait se voir reconnaître une pleine valeur probante. Enfin, concernant le calcul du degré d’invalidité, l’expert avait manifestement écarté des activités nécessitant responsabilité et autonomie, ce qui ne permettait pas d’exclure toute activité dans le domaine de l’architecture pour lequel l’assurée était formée. Pour ces raisons, le calcul de la comparaison des revenus et le choix du tableau ESS ne pouvait pas être critiqué et devait être confirmé. c. Par courrier du 2 décembre 2025, la chambre de céans a informé les parties qu’elle avait l’intention de confier une mission d’expertise psychiatrique au docteur I______, spécialiste en psychiatrie et psychothérapie. Un délai a été fixé aux parties pour faire valoir d’éventuels motifs de récusation. Par courrier, respectivement, du 5 décembre 2025 et du 15 décembre 2025, les parties n’ont fait valoir aucun motif de récusation mais l’OAI a vivement critiqué la nécessité de procéder à une expertise psychiatrique, considérant que l’expertise du Dr G______ revêtait une pleine valeur probante. d. Par courrier du 14 janvier 2026, la chambre de céans a soumis une proposition de mandat d’expertise aux parties qui ont communiqué dans le délai qui leur était octroyé qu’elles n’avaient pas de remarques concernant la mission d’expertise.</w:t>
      </w:r>
    </w:p>
    <w:p>
      <w:r>
        <w:t>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30 jours (art. 56 LPGA ; art. 62 al. 1 de la loi sur la procédure administrative du 12 septembre 1985 [LPA - E 5 10]). Interjeté dans la forme et le délai prévus par la loi, le recours est recevable. 2. Le litige porte sur la question de la persistance, ou non, d’une incapacité de travail de l’assurée donnant lieu à des prestations de l’OAI, au-delà du 30 mars 2024, subsidiairement sur le calcul de la comparaison des revenus. 3. Le 1er janvier 2022 sont entrées en vigueur les modifications de la LAI du 19 juin 2020 (développement continu de l’AI ; RO 2021 705).</w:t>
      </w:r>
    </w:p>
    <w:p>
      <w:r>
        <w:t>A/3630/2025 - 7/24 -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l’état de fait déterminant est postérieur au 1er janvier 2022, de sorte que les dispositions légales applicables seront citées dans leur nouvelle teneur. 4. 4.1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4.2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4.3 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w:t>
      </w:r>
    </w:p>
    <w:p>
      <w:r>
        <w:t>A/3630/2025 - 8/24 - La quotité de la rente est déterminée en fonction de l’incapacité de gain au moment où le droit à la rente prend naissance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5. 5.1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 5.2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w:t>
      </w:r>
    </w:p>
    <w:p>
      <w:r>
        <w:t>A/3630/2025 - 9/24 -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 5.3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5.4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6.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w:t>
      </w:r>
    </w:p>
    <w:p>
      <w:r>
        <w:t>A/3630/2025 - 10/24 -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w:t>
      </w:r>
    </w:p>
    <w:p>
      <w:r>
        <w:t>A/3630/2025 - 11/24 -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w:t>
      </w:r>
    </w:p>
    <w:p>
      <w:r>
        <w:t>A/3630/2025 - 12/24 -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w:t>
      </w:r>
    </w:p>
    <w:p>
      <w:r>
        <w:t>A/3630/2025 - 13/24 -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7. 7.1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w:t>
      </w:r>
    </w:p>
    <w:p>
      <w:r>
        <w:t>A/3630/2025 - 14/24 -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7.2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8. 8.1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8.2 Selon le principe de libre appréciation des preuves, pleinement valable en procédure judiciaire de recours dans le domaine des assurances sociales (cf. art. 61 let. c LPGA), le juge n'est pas lié par des règles formelles, mais doit</w:t>
      </w:r>
    </w:p>
    <w:p>
      <w:r>
        <w:t>A/3630/2025 - 15/24 -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8.3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 8.4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w:t>
      </w:r>
    </w:p>
    <w:p>
      <w:r>
        <w:t>A/3630/2025 - 16/24 - sociales, il y a lieu toutefois de poser des exigences sévères quant à l'impartialité de l'expert (ATF 125 V 351 consid. 3b/ee). 8.5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8.6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8.7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A/3630/2025 - 17/24 - pertinents pour remettre en cause les conclusions de l'expert (arrêt du Tribunal fédéral 9C_369/2008 du 5 mars 2009 consid. 2.2). 9. 9.1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9.2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w:t>
      </w:r>
    </w:p>
    <w:p>
      <w:r>
        <w:t>A/3630/2025 - 18/24 -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10. 10.1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10.2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w:t>
      </w:r>
    </w:p>
    <w:p>
      <w:r>
        <w:t>A/3630/2025 - 19/24 -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12. 12.1 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12.2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w:t>
      </w:r>
    </w:p>
    <w:p>
      <w:r>
        <w:t>A/3630/2025 - 20/24 - privée), ne saurait se justifier (ATF 139 V 496 consid. 4.4 et les références ; arrêt du Tribunal fédéral 8C_580/2019 du 6 avril 2020 consid. 5.1). 13. En l’espèce, il est rappelé que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Or, les appréciations médicales du médecin traitant, le psychiatre F______ ainsi que – dans une moindre mesure - celles de la psychologue H______, s’opposent aux conclusions prises par l’expert G______ mandaté par l’OAI. On peine à comprendre les raisons pour lesquelles de telles contradictions apparaissent sans qu’il soit possible de privilégier l’une ou l’autre version. On ajoutera que dans sa réponse, l’OAI a considéré que la réalité de l’assurée était qu’elle assumait un emploi, depuis maintenant près de deux ans, « à un taux aujourd’hui de 50% » ; or, cet argument va dans le sens d’une capacité de travail inférieure à celle de 80% retenue par l’expert et correspond à la capacité de travail de 50% alléguée par l’assurée. Pour cette raison, la chambre de céans n’a d’autre choix que d’ordonner une expertise psychiatrique et de la confier au Prof. I______, spécialiste en psychiatrie et psychothérapie.</w:t>
      </w:r>
    </w:p>
    <w:p>
      <w:r>
        <w:t>PAR CES MOTIFS, LA CHAMBRE DES ASSURANCES SOCIALES : Statuant préparatoirement</w:t>
      </w:r>
    </w:p>
    <w:p>
      <w:r>
        <w:t>I. Ordonne une expertise psychiatrique de Madame J______ et commet à cette fin le professeur I______, spécialiste en psychiatrie et psychothérapie, avenue Rosemont 12bis à Genève. II. Dit que la mission de l’expert sera la suivante : A. Prendre connaissance du dossier de la cause. B. Si nécessaire, prendre tous renseignements auprès des médecins ayant traité la personne expertisée, auprès de l’expert mandaté par l’OAI, voire auprès des membres de sa famille. C. Examiner et entendre la personne expertisée et, si nécessaire, ordonner d’autres examens, en particulier un examen neuropsychologique.</w:t>
      </w:r>
    </w:p>
    <w:p>
      <w:r>
        <w:t>A/3630/2025 - 21/24 - D. Établir un rapport détaillé comprenant les éléments suivants : 1. Anamnèse détaillée (avec la description d’une journée-type) 2. Plaintes de la personne expertisée 3. Status clinique et constatations objectives 4. Diagnostics (selon un système de classification reconnu)</w:t>
      </w:r>
    </w:p>
    <w:p>
      <w:r>
        <w:t>Préciser quels critères de classification sont remplis et de quelle manière (notamment l’étiologie et la pathogénèse). 4.1 Avec répercussion sur la capacité de travail 4.1.1 Dates d'apparition 4.2 Sans répercussion sur la capacité de travail 4.2.1 Dates d'apparition 4.3 Quel est le degré de gravité de chacun des troubles diagnostiqués (faible, moyen, grave) ? 4.4 Y a-t-il exagération des symptômes ou constellation semblable ?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4.5 Dans l’affirmative, considérez-vous que cela suffise à exclure une atteinte à la santé significative ? 5. Limitations fonctionnelles 5.1. Indiquer les limitations fonctionnelles en relation avec chaque diagnostic, respectivement dans quelle mesure les troubles diagnostiqués limitent-ils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5.1.1 Préciser si possible la date d’apparition de ces limitations. 5.2 Les plaintes de l’assurée sont-elles objectivées ? 6. Traitement 6.1 Examen du traitement suivi par la personne expertisée et analyse de son adéquation.</w:t>
      </w:r>
    </w:p>
    <w:p>
      <w:r>
        <w:t>A/3630/2025 - 22/24 - 6.2 Est-ce que la personne expertisée s'est engagée ou s'engage dans les traitements qui sont raisonnablement exigibles et possiblement efficaces dans son cas ou n'a-t-elle que peu ou pas de demande de soins ? 6.3 Le cas échéant, quelle est la compliance de la personne expertisée au traitement médical et médicamenteux ? Confirmer la compliance médicamenteuse avec un dosage sanguin. 6.4 En cas de refus ou mauvaise acceptation d’une thérapie, cette attitude doit-elle être attribuée à une incapacité de la personne expertisée à reconnaître sa maladie ? 6.5 Propositions thérapeutiques et analyse de leurs effets sur la capacité de travail de la personne expertisée. 6.6 En cas de dépendance à des substances psychoactives, une abstinence est-elle exigible ? 7. Personnalité 7.1 Est-ce que la personne expertisée présente un trouble de la personnalité selon les critères diagnostiques des ouvrages de référence et si oui, lequel ? Quel code ? 7.2 Est-ce que la personne expertisée présente des traits de la personnalité pathologique et, si oui, lesquels ? 7.3 Le cas échéant, quelle est l'influence de ce trouble de personnalité ou de ces traits de personnalité pathologique sur les limitations éventuelles et sur l'évolution des troubles de la personne expertisée ? 7.4 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et familial. En particulier, la personne expertisée peut- elle compter sur le soutien de ses proches ? 9. Cohérence</w:t>
      </w:r>
    </w:p>
    <w:p>
      <w:r>
        <w:t>A/3630/2025 - 23/24 - 9.1 Est-ce que le tableau clinique est cohérent, compte tenu du ou des diagnostic(s) retenu(s) ou existe-il des atypies ? 9.2 Est-ce que ce qui est connu de l'évolution correspond à ce qui est attendu pour le ou les diagnostic(s) retenu(s) ? 9.3 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 9.4 Quels sont les niveaux d’activités sociales et d’activités de la vie quotidienne (dont les tâches ménagères) et comment ont-ils évolué depuis la survenance de l’atteinte à la santé ? 9.5 Dans l’ensemble, le comportement de la personne expertisée vous semble-t-il cohérent et pourquoi ? 10. Capacité de travail Sur la base des réponses aux questions précédentes, analyser la capacité de travail de l’assurée en indiquant son taux et l’évolution de celui-ci pour chaque diagnostic : 10.1 La personne expertisée est-elle capable d’exercer son activité lucrative habituelle ? 10.1.1 Si non, ou seulement partiellement, pourquoi ? Quelles sont les limitations fonctionnelles qui entrent en ligne de compte ? 10.1.2 Depuis quelle date sa capacité de travail est-elle réduite / nulle ? 10.2 La personne expertisée est-elle capable d’exercer une activité lucrative adaptée à ses limitations fonctionnelles ? 10.2.1 Si non, ou dans une mesure restreinte, pour quels motifs ? Quelles sont les limitations fonctionnelles qui entrent en ligne de compte ? 10.2.2 Si oui, quel est le domaine d’activité lucrative adapté ? À quel taux ? Depuis quelle date ? 10.2.3 Dire s’il y a une diminution de rendement et la chiffrer. 10.3 Des mesures médicales sont-elles nécessaires préalablement à la reprise d’une activité lucrative ? Si oui, lesquelles ? 10.4 Quel est votre pronostic quant à la reprise d’une activité lucrative ? 11. Appréciation d'avis médicaux du dossier</w:t>
      </w:r>
    </w:p>
    <w:p>
      <w:r>
        <w:t>A/3630/2025 - 24/24 - 11.1 Êtes-vous d’accord avec le rapport médical des docteures E______ et K______, respectivement cheffe de clinique et médecin adjointe agrégée au sein du département de psychiatrie, service des spécialités psychiatriques, unité des troubles de l’humeur des HUG, du 13 décembre 2022 ? Si non, pourquoi ? 11.2 Êtes-vous d’accord avec le rapport médical de la docteure C______, spécialiste en psychiatrie et psychothérapie, du 15 mars 2023 ? Si non, pourquoi ? 11.3 Êtes-vous d’accord avec les rapports médicaux du docteur F______, spécialiste en psychiatrie et psychothérapie, des 16 janvier 2024 et 21 janvier 2025 ? Si non, pourquoi ? 11.4 Êtes-vous d’accord avec le rapport de la psychologue H______ du 10 janvier 2025 ? Si non, pourquoi ? 11.5 Êtes-vous d'accord avec les conclusions du rapport d’expertise du docteur G______, spécialiste en psychiatrie et psychothérapie, du 1er novembre 2024 ? Si non, pourquoi ? 12. Quel est le pronostic ? 13. Des mesures de réadaptation professionnelle sont-elles, à votre avis, envisageables ? 14. Faire toutes autres observations ou suggestions utiles. E. Invite l’expert à déposer, dans les meilleurs délais, un rapport en trois exemplaires auprès de la chambre de céans. III. Réserve le fond ainsi que le sort des frais jusqu’à droit jugé au fond.</w:t>
      </w:r>
    </w:p>
    <w:p>
      <w:r>
        <w:t>La greffière</w:t>
      </w:r>
    </w:p>
    <w:p>
      <w:r>
        <w:t>Nora DE RIEDMATTEN</w:t>
      </w:r>
    </w:p>
    <w:p>
      <w:r>
        <w:t>Le président</w:t>
      </w:r>
    </w:p>
    <w:p>
      <w:r>
        <w:t>Philippe KNUPFER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