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ATAS/358/2022 vom 21. April 2022</w:t>
      </w:r>
    </w:p>
    <w:p>
      <w:r>
        <w:t>GE Cour de justice, 2022-04-21, FR</w:t>
      </w:r>
    </w:p>
    <w:p>
      <w:r>
        <w:rPr>
          <w:b/>
        </w:rPr>
        <w:t xml:space="preserve">Quelle: </w:t>
      </w:r>
      <w:r>
        <w:t>https://mcp.opencaselaw.ch/entscheid/ge_gerichte_ATAS_358_2022</w:t>
      </w:r>
    </w:p>
    <w:p>
      <w:r>
        <w:t>FR: GE_GERICHTE ATAS/358/2022 du 21 avril 2022</w:t>
      </w:r>
    </w:p>
    <w:p>
      <w:r>
        <w:t>IT: GE_GERICHTE ATAS/358/2022 del 21 aprile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modification du 21 juin 2019 de la LPGA est entrée en vigueur le 1er janvier 2021. Dans la mesure où le présent recours était pendant à cette date, il est soumis à l’ancien droit (art. 82a LPGA a contrario).</w:t>
      </w:r>
    </w:p>
    <w:p>
      <w:r>
        <w:rPr>
          <w:b/>
        </w:rPr>
        <w:t>E. 3</w:t>
      </w:r>
    </w:p>
    <w:p>
      <w:r>
        <w:t>Le litige porte sur le point de savoir si c’est à juste titre que l’intimée n’est pas entrée en matière sur la demande du recourant tendant à la restitution des cotisations sociales dont il s’est acquitté pour M. C______ à titre de salarié de son entreprise.</w:t>
      </w:r>
    </w:p>
    <w:p>
      <w:r>
        <w:t>A/4392/2020 - 6/14 - A ce sujet, il convient de souligner que dès lors qu’une éventuelle reconnaissance du statut d’indépendant de M. C______ pourrait avoir une incidence sur l’obligation de ce dernier de verser des cotisations sociales à ce titre, il se justifierait en principe de l’appeler en cause (cf. art. 71 de la loi sur la procédure administrative du 12 septembre 1985 [LPA - E 5 10]). Toutefois, selon la jurisprudence, un appel en cause n’est pas nécessaire lorsque le domicile de l’intéressé est à l’étranger, comme en l’espèce (arrêt du Tribunal fédéral des assurances H 144/05 du 6 septembre 2006 consid. 3.1).</w:t>
      </w:r>
    </w:p>
    <w:p>
      <w:r>
        <w:rPr>
          <w:b/>
        </w:rPr>
        <w:t>E. 4</w:t>
      </w:r>
    </w:p>
    <w:p>
      <w:r>
        <w:t>S’agissant de la recevabilité du recours, outre le fait que les conditions de délai et de forme sont remplies, la chambre de céans relève ce qui suit.</w:t>
      </w:r>
    </w:p>
    <w:p>
      <w:r>
        <w:rPr>
          <w:b/>
        </w:rPr>
        <w:t>E. 4.1</w:t>
      </w:r>
    </w:p>
    <w:p>
      <w:r>
        <w:t>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w:t>
      </w:r>
    </w:p>
    <w:p>
      <w:r>
        <w:rPr>
          <w:b/>
        </w:rPr>
        <w:t>E. 4.2</w:t>
      </w:r>
    </w:p>
    <w:p>
      <w:r>
        <w:t>Si la décision n'est pas définie dans la LPGA, elle correspond à la notion contenue à l'art. 5 de la loi fédérale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 droit cantonal, la définition de la décision contenue à l'art. 4 al. 1 LPA reprend presque exactement celle prévue au plan fédéral.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9C_646/2017 du 9 mars 2018 consid. 4.2).</w:t>
      </w:r>
    </w:p>
    <w:p>
      <w:r>
        <w:rPr>
          <w:b/>
        </w:rPr>
        <w:t>E. 4.3</w:t>
      </w:r>
    </w:p>
    <w:p>
      <w:r>
        <w:t>Selon une jurisprudence constante rendue dans le domaine des assurances sociales, la procédure juridictionnelle administrative peut être étendue pour des</w:t>
      </w:r>
    </w:p>
    <w:p>
      <w:r>
        <w:t>A/4392/2020 - 7/14 -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 d'être jugée ; il doit exister un état de fait commun entre cette question et l'objet initial du litige ; l'administration doit s'être prononcée à son sujet dans un acte de procédure au moins ; et le rapport juridique externe à l'objet de la contestation ne doit pas avoir fait l'objet d'une décision passée en force de chose jugée (arrêt du Tribunal fédéral 9C_678/2019 du 22 avril 2020 consid. 4.4.1 et les références, arrêt du Tribunal fédéral 9C_678/2011 du 4 janvier 2012 consid. 3.1).</w:t>
      </w:r>
    </w:p>
    <w:p>
      <w:r>
        <w:rPr>
          <w:b/>
        </w:rPr>
        <w:t>E. 5.1</w:t>
      </w:r>
    </w:p>
    <w:p>
      <w:r>
        <w:t>En l’occurrence, les parties ne contestent pas que le statut de salarié de l’entreprise de M. C______ a fait l’objet d’une décision de l’intimée en août 2014, laquelle est entrée en force. Il y a lieu de rappeler que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3ème éd., Berne 2011, p. 378). Néanmoins,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S’agissant en particulier de la révision, la personne assurée ou toute autre partie touchée par la décision ou la décision sur opposition a le droit de présenter une requête de révision à l'assureur social, que celui-ci doit examiner (Margrit MOSER-SZELESS in Commentaire romand, Loi sur la partie générale des assurances sociales, n. 59 ad art. 53). L'assureur concerné doit statuer sur la demande de révision sous la forme d'une décision formelle susceptible d'opposition (arrêt du Tribunal fédéral 8C_121/2009 du 26 juin 2009 consid. 3.7).</w:t>
      </w:r>
    </w:p>
    <w:p>
      <w:r>
        <w:rPr>
          <w:b/>
        </w:rPr>
        <w:t>E. 5.2</w:t>
      </w:r>
    </w:p>
    <w:p>
      <w:r>
        <w:t>En l’espèce, la qualité de décision des courriers d’octobre et novembre 2020 de l’intimée est pour le moins douteuse. En effet, ces correspondances ne tranchent pas des droits ou des obligations du recourant, pas plus qu’elles ne constatent ou ne rejettent des demandes dans ce sens, puisqu’elles se contentent</w:t>
      </w:r>
    </w:p>
    <w:p>
      <w:r>
        <w:t>A/4392/2020 - 8/14 - de rappeler la décision déjà prise par l’intimée quant à la qualité de salarié de M. C______. Cela devrait en principe conduire à un jugement d’irrecevabilité, dès lors que le recours n’est pas dirigé contre une décision formelle ou matérielle. Cependant, le courrier du recourant du 12 novembre 2020 faisait apparemment valoir un fait et une preuve nouveaux, de sorte qu’il y a lieu d’interpréter ledit courrier comme une demande de révision, même si le recourant n’a pas expressément invoqué ce moyen. Or, l’intimée n’a pas formellement statué sur cette demande. Dans un cas similaire, le Tribunal fédéral a retenu qu’un jugement d’irrecevabilité devait être prononcé en l’absence de décision attaquable, et la cause transmise à l’assureur afin qu’il rende une décision sur la demande de révision conformément à l’art. 49 LPGA (arrêt du Tribunal fédéral 8C_21/2014 du 6 novembre 2014 consid. 5). Cela étant, dans le cas d’espèce, l’intimée n’a jamais formellement contesté la recevabilité du recours avant son écriture du</w:t>
      </w:r>
    </w:p>
    <w:p>
      <w:r>
        <w:rPr>
          <w:b/>
        </w:rPr>
        <w:t>E. 10</w:t>
      </w:r>
    </w:p>
    <w:p>
      <w:r>
        <w:t>Pour le surplus, la procédure est gratuite (art. 61 let. a LPGA dans sa teneur jusqu'au 31 décembre 2020).</w:t>
      </w:r>
    </w:p>
    <w:p>
      <w:r>
        <w:t>A/4392/2020 - 14/14 -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