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ATAS/358/2013 vom 17. April 2013</w:t>
      </w:r>
    </w:p>
    <w:p>
      <w:r>
        <w:t>GE Cour de justice, 2013-04-17, FR</w:t>
      </w:r>
    </w:p>
    <w:p>
      <w:r>
        <w:rPr>
          <w:b/>
        </w:rPr>
        <w:t xml:space="preserve">Quelle: </w:t>
      </w:r>
      <w:r>
        <w:t>https://mcp.opencaselaw.ch/entscheid/ge_gerichte_ATAS_358_2013</w:t>
      </w:r>
    </w:p>
    <w:p>
      <w:r>
        <w:t>FR: GE_GERICHTE ATAS/358/2013 du 17 avril 2013</w:t>
      </w:r>
    </w:p>
    <w:p>
      <w:r>
        <w:t>IT: GE_GERICHTE ATAS/358/2013 del 17 aprile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A/894/2012 - 14/24 - assurances sociales, du 6 octobre 2000 (LPGA; RS 830.1) relatives à la loi fédérale sur l’assurance-invalidité du 19 juin 1959 (LAI; RS 831.20).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 degré d'invalidité du recourant s'est aggravé depuis la décision du 12 décembre 2005, au point de lui ouvrir le droit à une rente.</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L’assuré a droit à une rente entière s’il est invalide à 70 % au moins, à un trois- quarts de rente s'il est invalide à 60 % au moins, à une demi-rente s’il est invalide à 50 % au moins, ou à un quart de rente s’il est invalide à 40 % au moins (art. 28 al. 2 LAI).</w:t>
      </w:r>
    </w:p>
    <w:p>
      <w:r>
        <w:rPr>
          <w:b/>
        </w:rPr>
        <w:t>E. 7</w:t>
      </w:r>
    </w:p>
    <w:p>
      <w:r>
        <w:t>Pour l'évaluation des syndromes sans pathogenèse ni étiologie claires et sans constat de déficit organique, dont font partie le trouble somatoforme douloureux persistant et la fibromyalgie, la jurisprudence du Tribunal fédéral a dégagé un</w:t>
      </w:r>
    </w:p>
    <w:p>
      <w:r>
        <w:t>A/894/2012 - 15/24 - certain nombre de principes et de critères normatifs pour permettre d'apprécier - sur les plans médical et juridique - leur caractère invalidant. Selon notre Haute Cour, de tels syndromes n'entraînent pas, en règle générale, une limitation de longue durée de la capacité de travail pouvant conduire à une invalidité et il existe une présomption que ces syndromes ou leurs effets peuvent être surmontés par un effort de volonté raisonnablement exigible (ATF 131 V 49 consid. 1.2 p. 50). Le Tribunal fédéral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p. 354 et 131 V 49 consid. 1.2 p. 50).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w:t>
      </w:r>
    </w:p>
    <w:p>
      <w:r>
        <w:rPr>
          <w:b/>
        </w:rPr>
        <w:t>E. 8</w:t>
      </w:r>
    </w:p>
    <w:p>
      <w:r>
        <w:t>A teneur de la jurisprudence constante du Tribunal fédéral, une dépendance comme l’alcoolisme, la pharmacodépendance ou la toxicomanie ne constitue pas en soi une invalidité au sens de la loi. En revanche, elle joue un rôle dans l’assurance-</w:t>
      </w:r>
    </w:p>
    <w:p>
      <w:r>
        <w:t>A/894/2012 - 16/24 - invalidité lorsqu’elle a provoqué une atteinte à la santé physique ou mentale qui nuit à la capacité de gain de l’assuré, ou si elle résulte elle-même d’une atteinte à la santé physique ou mentale qui a valeur de maladie (ATF 99 V 28 consid. 2 ;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9C_395/2007, consid. 2.2).</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A/894/2012 - 17/24 -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10</w:t>
      </w:r>
    </w:p>
    <w:p>
      <w:r>
        <w:t>juge en général plusieurs entretiens nécessaires pour évaluer un trouble de la personnalité (CIM-10 p. 114). Il s'agit en outre d'une situation médicale générale lourde et complexe, comme le Dr A__________ l'a attesté le 6 septembre 2011. Cela peut aussi expliquer que l'expert psychiatre de la CRR n'ait pas pu se rendre compte de la gravité des atteintes psychiques dans le laps de temps relativement court consacré à l'entretien avec le recourant, d'autant plus qu'il ressort des différents rapports médicaux et de l'entretien du 3 juin 2010 du recourant avec la gestionnaire de dossier de l'intimé, que le recourant a beaucoup de peine à exprimer les aspects douloureux de son vécu et qu'il tend à minimiser sa détresse. Enfin, il est à noter que le Dr E__________ de la CRR lui-même a eu quelques doutes concernant l'évaluation de la capacité de travail du recourant, dans la mesure où il s'est demandé si l'ensemble des troubles pourrait restreindre la capacité de travail ( p. 4 de l'expertise psychiatrique). Les conclusions de l'expertise judiciaire concordent avec celles des médecins traitants, comme exposé ci-dessus. En effet, des troubles anxio-dépressifs sévères entraînant une incapacité de travail totale avaient déjà été diagnostiqués en juillet 2010 par le Dr A__________. Ils ont été confirmés par la Dresse C __________, les médecins des HUG et de la Clinique genevoise de Montana. Enfin, il est à relever que les experts de la CRR ne contestent pas que le recourant souffre d'un trouble dépressif récurrent. Ainsi, il se pourrait également que le recourant se soit trouvé dans une phase de rémission au moment de cette expertise, sans que l'on puisse pour autant considérer qu'il ait recouvré durablement une capacité de travail. Enfin, l'expertise de la CRR n'a pas mis en cause les incapacités de travail attestées précédemment.</w:t>
      </w:r>
    </w:p>
    <w:p>
      <w:r>
        <w:t>En tout état de cause, l'expertise de la CRR n'emporte pas la conviction de la Cour. Il s'avère en effet qu'elle n'a pas véritablement été rendue en connaissance du dossier médical intégral. En effet, elle ne comporte qu'un extrait du dossier et ne mentionne notamment pas le processus de reclassement du recourant à la suite de la pose d'une prothèse totale de la hanche droite en 2001, et que celui-ci a uniquement recouvré un taux de capacité de travail de 75% à l'issue de la réadaptation</w:t>
      </w:r>
    </w:p>
    <w:p>
      <w:r>
        <w:t>A/894/2012 - 22/24 - professionnelle. Sur le plan formel, il est ainsi douteux que cette expertise ait une pleine valeur probante. En outre, la conclusion des experts, selon laquelle le recourant aurait une capacité de travail de 80% en tant que polisseur, soit supérieure à ce qui a été retenu en 2005, n'est pas convaincante, alors même qu'il continue à souffrir de douleurs à la hanche et au dos très importantes, nécessitant même l'administration de morphine, douleurs auxquelles se sont ajoutées des gonalgies, et a présenté une dysplasie de la corde vocale, opérée à plusieurs reprises, indépendamment des troubles psychiques. À cela s'ajoute le comportement suicidaire du recourant, qui malgré cette dysplasie a continué à avoir une consommation importante de cigarettes (un à deux paquets par jour selon le Dr A__________) et d'alcool. Ce comportement suicidaire était déjà présent au moment de l'expertise de la CRR. La Cour peine aussi à croire que le recourant ait exagéré ses plaintes somatiques, au vu du traitement antalgique très important. A part le Dr G__________, tous les médecins ont estimé que les plaintes du recourant étaient authentiques.</w:t>
      </w:r>
    </w:p>
    <w:p>
      <w:r>
        <w:t>c) L'incapacité de travail du recourant ayant été essentiellement provoquée par des troubles psychiatriques et non pas par des douleurs, il n'y a pas lieu d'examiner si les critères jurisprudentiels sont remplis pour reconnaître un caractère invalidant au syndrome douloureux, dans l'hypothèse où il devrait être admis que les douleurs ne sont pas entièrement objectivables. Par ailleurs, la dépendance à l'alcool n'a jamais empêché le recourant de travailler, même si elle a aussi contribué à le fragiliser. Cela étant, il n'est pas nécessaire d'examiner si cette dépendance a en l'occurrence un caractère primaire ou secondaire. d) Au vu de ce qui précède, la Cour est convaincue par les conclusions de l'expert judiciaire, sauf en ce qui concerne le début de l'incapacité de travail totale. L'expert judiciaire a retenu à ce titre le mois de septembre 2009. Cependant, s'il est vrai que le recourant a commencé à consulter un psychiatre à partir de mars 2009, des incapacités totales de travailler ne sont attestées par les Drs A__________ et C __________ qu'à partir de novembre 2009. Partant, la Cour estime qu'il y a lieu de s'écarter sur ce point de l'expertise judiciaire et de se fonder sur les attestations des médecins traitants établis à l'époque. e) L'état de santé du recourant s'est donc aggravé depuis la décision de l'intimé en 2005. Son incapacité de travail étant totale, il a droit à une rente d'invalidité entière une année après le début de celle-ci, à savoir à partir de novembre 2010.</w:t>
      </w:r>
    </w:p>
    <w:p>
      <w:r>
        <w:rPr>
          <w:b/>
        </w:rPr>
        <w:t>E. 11</w:t>
      </w:r>
    </w:p>
    <w:p>
      <w:r>
        <w:t>Au vu de ce qui précède, le recours sera admis, la décision annulée et le recourant mis au bénéfice d'une rente entière dès novembre 2010.</w:t>
      </w:r>
    </w:p>
    <w:p>
      <w:r>
        <w:t>A/894/2012 - 23/24 -</w:t>
      </w:r>
    </w:p>
    <w:p>
      <w:r>
        <w:rPr>
          <w:b/>
        </w:rPr>
        <w:t>E. 12</w:t>
      </w:r>
    </w:p>
    <w:p>
      <w:r>
        <w:t>Dans la mesure où l'intimé succombe, il sera condamné à verser au recourant une indemnité de 3500 fr. à titre de dépens.</w:t>
      </w:r>
    </w:p>
    <w:p>
      <w:r>
        <w:rPr>
          <w:b/>
        </w:rPr>
        <w:t>E. 13</w:t>
      </w:r>
    </w:p>
    <w:p>
      <w:r>
        <w:t>L'intimé sera par ailleurs condamné au paiement d'un émolument de justice de 200 fr., ainsi que des frais de l'expertise psychiatrique du Dr O__________ de 4'950 fr.</w:t>
      </w:r>
    </w:p>
    <w:p>
      <w:r>
        <w:t>A/894/2012 - 24/24 -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