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ATAS/358/2010 vom 3. September 2009</w:t>
      </w:r>
    </w:p>
    <w:p>
      <w:r>
        <w:t>GE Cour de justice, 2009-09-03, FR</w:t>
      </w:r>
    </w:p>
    <w:p>
      <w:r>
        <w:rPr>
          <w:b/>
        </w:rPr>
        <w:t xml:space="preserve">Quelle: </w:t>
      </w:r>
      <w:r>
        <w:t>https://mcp.opencaselaw.ch/entscheid/ge_gerichte_ATAS_358_2010</w:t>
      </w:r>
    </w:p>
    <w:p>
      <w:r>
        <w:t>FR: GE_GERICHTE ATAS/358/2010 du 3 septembre 2009</w:t>
      </w:r>
    </w:p>
    <w:p>
      <w:r>
        <w:t>IT: GE_GERICHTE ATAS/358/2010 del 3 settembre 2009</w:t>
      </w:r>
    </w:p>
    <w:p>
      <w:pPr>
        <w:pStyle w:val="Heading2"/>
      </w:pPr>
      <w:r>
        <w:t>Erwägungen</w:t>
      </w:r>
    </w:p>
    <w:p>
      <w:r>
        <w:rPr>
          <w:b/>
        </w:rPr>
        <w:t>E. 1</w:t>
      </w:r>
    </w:p>
    <w:p>
      <w:r>
        <w:t>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avoirs de prévoyance des demandeurs. Les dates pertinentes sont, d’une part, celle du mariage, le 6 juillet 2001, d’autre part le 6 octobre 2009, date à laquelle le jugement de divorce est devenu exécutoire. Selon les documents produits, la prestation acquise pendant le mariage par M. S__________ est de 40'014 fr. 30 (auprès de la Fondation de prévoyance PACT) tandis que celle acquise par Mme S__________ est de 14'360 fr. (auprès de la Fondation de prévoyance en faveur du personnel des agences générales de</w:t>
      </w:r>
    </w:p>
    <w:p>
      <w:r>
        <w:t>A/212/2010 - 4/5 - X_________ Suisse), les intérêts ayant déjà été calculés par les institutions de prévoyance défenderesses. Ainsi M. S__________ doit à son ex-épouse le montant de 20'007 fr. 15 (40'014 fr. 30 : 2) et celle-ci lui doit le montant de 7'180 fr. (14'360 fr. : 2), de sorte que c’est M. S__________ qui doit à Mme S__________ le montant de 12'827 fr. 15.</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r>
        <w:t>A/212/2010 - 5/5 -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