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ATAS/357/2026 vom 24. April 2026</w:t>
      </w:r>
    </w:p>
    <w:p>
      <w:r>
        <w:t>GE Cour de justice, 2026-04-24, FR</w:t>
      </w:r>
    </w:p>
    <w:p>
      <w:r>
        <w:rPr>
          <w:b/>
        </w:rPr>
        <w:t xml:space="preserve">Quelle: </w:t>
      </w:r>
      <w:r>
        <w:t>https://mcp.opencaselaw.ch/entscheid/ge_gerichte_ATAS_357_2026</w:t>
      </w:r>
    </w:p>
    <w:p>
      <w:r>
        <w:t>FR: GE_GERICHTE ATAS/357/2026 du 24 avril 2026</w:t>
      </w:r>
    </w:p>
    <w:p>
      <w:r>
        <w:t>IT: GE_GERICHTE ATAS/357/2026 del 24 aprile 2026</w:t>
      </w:r>
    </w:p>
    <w:p>
      <w:pPr>
        <w:pStyle w:val="Heading2"/>
      </w:pPr>
      <w:r>
        <w:t>Erwägungen</w:t>
      </w:r>
    </w:p>
    <w:p>
      <w:r>
        <w:rPr>
          <w:b/>
        </w:rPr>
        <w:t>E. 25</w:t>
      </w:r>
    </w:p>
    <w:p>
      <w:r>
        <w:t>août 2025. e. Le 26 juin 2025, une audience de comparution personnelle des parties s’est tenue devant la Cour de céans. f. Interrogée par cette dernière, la docteure K______, spécialiste en psychiatrie et psychothérapie, et psychiatre traitant de la recourante, s’est exprimée, dans un document du 13 août 2025, sur le rapport d’expertise du SEM. g. Invités également à prendre position sur ce rapport d’expertise, les docteurs L______, médecin cheffe de clinique, et M______, médecin adjoint agrégé responsable d’unité du service d’anesthésiologie (consultation d’antalgie) des HUG, se sont exécutés en date du 20 août 2025. h. Le 1er septembre 2025, sont également parvenus à la Cour de céans : un rapport du 14 octobre 2024 du service d’anesthésiologie des HUG, ainsi que les notes de suite de la Dre L______, établies entre janvier et août 2025. i. Par écriture du 16 septembre 2025, l’intimé a persisté dans ses conclusions, en se ralliant à de nouveaux avis émis par le SMR en dates des 1er et 8 septembre 2025. j. Les autres faits seront repris – en tant que de besoin – dans la partie « en droit » du présent arrêt.</w:t>
      </w:r>
    </w:p>
    <w:p>
      <w:r>
        <w:t>EN DROIT</w:t>
      </w:r>
    </w:p>
    <w:p>
      <w:r>
        <w:t>1.</w:t>
      </w:r>
    </w:p>
    <w:p>
      <w:r>
        <w:t>A/3308/2024 - 5/17 - 1.1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Le délai de recours est de 30 jours (art. 56 et 60 LPGA ; art. 62 al. 1 let. a LPA). Le recours adressé à une autorité incompétente est transmis d'office à la juridiction administrative compétente et le recourant en est averti. L'acte est réputé déposé à la date à laquelle il a été adressé à la première autorité (art. 64 al. 2 LPA en lien avec l'art. 89A LPA). En l’espèce, le recours du 29 septembre 2024 contre la décision du 3 septembre 2024, posté le 1er octobre 2024, et adressé à l'intimé qui l'a transmis à la Cour de céans comme objet de sa compétence le 7 octobre suivant, conformément aux principes légaux applicables, a été formé en temps utile. Par ailleurs, le recours satisfait aux exigences, peu élevées, de forme et de contenu prescrites par la loi (art. 61 let. b LPGA ; ATAS/890/2025 du 12 novembre 2025 consid. 1.3). Il sera par conséquent déclaré recevable. 2. Le litige porte sur le droit de la recourante à une rente d'invalidité dans le cadre d’une nouvelle demande de prestations. 3.</w:t>
      </w:r>
    </w:p>
    <w:p>
      <w:r>
        <w:t>3.1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t>A/3308/2024 - 6/17 - En l’occurrence, un éventuel droit à une rente d’invalidité naîtrait au plus tôt en avril 2024, soit six mois après le dépôt de la demande du 18 octobre 2023 (art. 29 al. 1 LAI), de sorte que les dispositions légales applicables seront citées dans leur nouvelle teneur. 3.2 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w:t>
      </w:r>
    </w:p>
    <w:p>
      <w:r>
        <w:rPr>
          <w:b/>
        </w:rPr>
        <w:t>E. 30</w:t>
      </w:r>
    </w:p>
    <w:p>
      <w:r>
        <w:t>novembre 2023 consid. 4.2.3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3.3 Est réputée invalidité, l'incapacité de gain totale ou partielle présumée permanente ou de longue durée, résultant d'une infirmité congénitale, d'une</w:t>
      </w:r>
    </w:p>
    <w:p>
      <w:r>
        <w:t>A/3308/2024 - 7/17 -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3.4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w:t>
      </w:r>
    </w:p>
    <w:p>
      <w:r>
        <w:t>A/3308/2024 - 8/17 -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 La procédure d’administration des preuves qui prévaut en matière de troubles douloureux sans substrat organique et de troubles psychosomatiques analogues est également applicable à la fibromyalgie (ATF 132 V 65 consid. 4.1). 3.5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les SMR établissent les capacités fonctionnelles de l’assuré qui sont déterminantes pour l’assurance-invalidité en vertu de l’art. 6 LPGA, pour l’exercice d’une activité lucrative raisonnablement exigible ou pour l’accomplissement des travaux habituels (al. 3).</w:t>
      </w:r>
    </w:p>
    <w:p>
      <w:r>
        <w:t>A/3308/2024 - 9/17 -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A/3308/2024 - 10/17 -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3.6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De jurisprudence constante, le juge apprécie en règle générale la légalité des décisions entreprises d'après l'état de fait existant au moment où la décision litigieuse a été rendue (ATF 144 V 210 consid. 4.3.1 ; 132 V 215 consid. 3.1.1).</w:t>
      </w:r>
    </w:p>
    <w:p>
      <w:r>
        <w:t>A/3308/2024 - 11/17 - Les faits survenus postérieurement, et qui ont modifié cette situation, doivent en principe faire l'objet d'une nouvelle décision administrative (ATF 144 V 210 consid. 4.3.1 ; 130 V 130 consid. 2.1). 4.</w:t>
      </w:r>
    </w:p>
    <w:p>
      <w:r>
        <w:t>4.1 En l’espèce, il convient de déterminer si l’état de santé de la recourante s’est péjoré entre le 22 mai 2015, date de la décision rejetant la première demande de prestations pour adultes – confirmée par la Cour de céans le 12 novembre 2015 (ATAS/881/2015 entré en force) –, et le 3 septembre 2024, date de la décision litigieuse rejetant la nouvelle demande de prestations. 4.2 À l’époque, la Cour de céans avait reconnu pleine valeur probante au rapport d’examen rhumato-psychiatrique du 4 mars 2015, qui retenait les diagnostics de fibromyalgie, de cervico-lombalgies communes et de trouble anxieux et dépressif mixte (F41.2), sans répercussion sur la capacité de travail, jugée entière dans toute activité. La Cour a mentionné en particulier, en lien avec la fibromyalgie, que la publication de l’ATF 141 V 281, applicable à ce type de pathologie, ne permettait pas d’aboutir à un autre résultat, dès lors que les examinateurs avaient fait état de facteurs d’exagération des symptômes excluant l’existence d’une atteinte invalidante à la santé. Elle a également relevé que les autres atteintes évoquées par le médecin traitant (un goître, une tachycardie sinusale, des épigastralgies sur gastrite aiguë, une hypotension orthostatique et un épisode d’épilepsie dans l’enfance) n'entraînaient pas d'incapacité de travail durable. 4.3 La décision litigieuse du 3 septembre 2024 se fonde, quant à elle, sur l’avis du SMR du 8 juillet 2024, lui-même basé sur le rapport d’expertise pluridisciplinaire du SEM du 27 juin 2024, ainsi que sur l’avis du SMR du 3 septembre 2024. Il convient en premier lieu d’examiner la valeur probante du rapport d’expertise. 4.3.1 Sur le plan de la médecine interne, l’experte a posé les diagnostics, non incapacitants, de lupus érythémateux cutané sans traitement médicamenteux, d’épigastralgies sous traitement médicamenteux, de notion de goitre thyroïdien, de tachycardie sinusale avec prolapsus mitral très léger et d’hypotension orthostatique (p. 60). Elle a précisé que la fonction thyroïdienne était normale selon les analyses de laboratoire réalisées le 24 avril 2024, que la tachycardie sinusale ne nécessitait pas de traitement particulier, et que le lupus érythémateux cutané était contrôlé par une éviction solaire simple (p. 58-59). Elle en a conclu que la capacité de travail de la recourante était entière dans toute activité n’impliquant pas d’exposition prolongée au soleil, et ce depuis toujours (p. 62). 4.3.2 Sur le plan neurologique, l’expert a posé le diagnostic de syndrome douloureux persistant, sans manifestation neurologique déficitaire, avec un traitement inefficace d’un possible syndrome des jambes sans repos. Il a indiqué que la recourante signalait un syndrome douloureux des jambes, de la nuque et du bras, surtout à gauche, mis sur le compte d’un syndrome des jambes sans repos, avec un essai de traitement par perfusions de fer et de dopaminergique, sans</w:t>
      </w:r>
    </w:p>
    <w:p>
      <w:r>
        <w:t>A/3308/2024 - 12/17 - succès. Il a toutefois exposé que la recourante présentait une symptomatologie douloureuse (amplifiée) sans substrat organique, car l’examen neurologique détaillé était normal (p. 25). Il en a inféré que la capacité de travail de la recourante était entière dans toute activité depuis toujours (p. 27). 4.3.3 Sur les plans psychiatrique et rhumatologique, dans la mesure où les experts ont retenu les diagnostics d’épisode dépressif léger à moyen sans syndrome somatique (F32) et de fibromyalgie, il y a lieu d'examiner le caractère incapacitant de ces diagnostics au regard des critères jurisprudentiels (ATF 141 V 281 consid. 4). S’agissant de la catégorie « degré de gravité fonctionnelle », l’expert psychiatre a retenu un épisode dépressif sur la base des allégations de la recourante selon lesquelles elle souffrait de tristesse de manière constante, d’une asthénie et d’une baisse de sa capacité hédonique, en précisant que l’échelle d’Hamilton montrait un score de 17, correspondant à des symptômes dépressifs légers à modérés (p. 40). La recourante évoquait des manifestations anxieuses épisodiques ponctuelles, telles que la crainte qu'un tiers se soit introduit chez elle, sans que cela justifie de retenir une psychopathologie du registre psychotique (p. 44). L’expert a exclu un syndrome douloureux somatoforme persistant (F45.4) en l’absence d’état de détresse (p. 43). Il a également relevé qu’il n’y avait pas de diminution de la capacité à se concentrer chez une assurée qui maintenait un focus d’attention efficace et qui n’était pas confuse. Il n’y avait pas non plus de perturbation du sommeil à type de réveil précoce systématique de la seconde partie de la nuit. La recourante s’adaptait aux règles et aux routines, planifiait et structurait des tâches, détenait flexibilité, capacité d’adaptation, capacité de jugement et de prise de décisions, et capacité de s’affirmer. Le sens du contact envers des tiers était efficient. Elle était capable d’évoluer au sein d’un groupe (p. 45-46). L’expert rhumatologue, quant à lui, a constaté que l’examen était superposable à celui de 2015, avec une importante démonstrativité (p. 71 et 73). Il a néanmoins admis que le rendement de la recourante pouvait être réduit de 10 à 20% en raison de la fatigue et du déconditionnement global (p. 76). S’agissant du « succès du traitement et de la réadaptation », la recourante n’a jamais été hospitalisée en milieu psychiatrique et ne prenait pas de traitement psychopharmacologique, au jour de l’expertise. L’expert psychiatre a indiqué qu’un traitement psychiatrique et psychothérapeutique pouvait être instauré (p. 49). L’expert rhumatologue a également préconisé un suivi dans un centre de la douleur (p. 77). Il ne ressort donc pas du dossier que la recourante serait confrontée à un échec de toute thérapie médicalement indiquée. S’agissant des « comorbidités », les troubles somatiques et psychosomatiques de la recourante n'empêchent pas la pratique d'une activité professionnelle, sous réserve d’une baisse de rendement prise en compte par les experts.</w:t>
      </w:r>
    </w:p>
    <w:p>
      <w:r>
        <w:t>A/3308/2024 - 13/17 - S’agissant du complexe de « la personnalité », l’expert psychiatre n’a pas retenu un trouble spécifique de la personnalité au sens d’une classification diagnostique reconnue (p. 39). Il ne ressort pas non plus des autres pièces médicales au dossier que la recourante présenterait un tel trouble. Pour ce qui est du « contexte social », la recourante a une vie de famille harmonieuse et entretient de bonnes relations avec trois amies (p. 34, 46, 65-66). Son contexte social et familial lui procure donc des ressources mobilisables. En ce qui concerne la catégorie « cohérence », les symptômes invoqués par la recourante ne se manifestent pas de la même manière dans toutes les fonctions de la vie quotidienne (p. 43, 73). Son hygiène n’est pas altérée (p. 42). Elle effectue les tâches ménagères et les courses de façon conjointe avec son époux, s’occupe de sa fille de 5 ans (prépare son petit-déjeuner, l’habille, l’accompagne à l’école), cuisine, et part en vacances en avion (p. 45, 66-67). 4.3.4 Sur le plan consensuel, les experts ont conclu que la recourante disposait d’une capacité de travail de 80 à 90% dans toute activité, avec une baisse de rendement de 10 à 20% en raison de la fatigue et du déconditionnement global (p. 19), depuis toujours (p. 16-17). 4.3.5 La Cour de céans observe que le rapport d’expertise pluridisciplinaire du SEM établi par des spécialistes des disciplines médicales pertinentes eu égard aux atteintes à la santé alléguées (médecine interne générale, neurologie, psychiatrie et rhumatologie), comprend les données objectives du dossier, soit les pièces médicales essentielles, y compris les documents d'imagerie (p. 5-11), les données subjectives de la recourante et l’anamnèse (p. 20-23, 29-36, 50-55, 64-67), les observations cliniques (p. 24, 37-40, 56-58, 68-72), l'appréciation et les conclusions par discipline (p. 26-28, 41-49, 59-63, 73-77), ainsi que l’évaluation consensuelle (p. 12-19). Ce rapport remplit les réquisits jurisprudentiels pour se voir reconnaître une pleine valeur probante. 4.3.6 Reste à examiner si les avis des médecins traitants sont susceptibles de jeter le doute sur les conclusions du rapport d’expertise du 27 juin 2024. Dans un rapport du 22 août 2024, la médecin généraliste traitante a posé les diagnostics suivants : scapulalgie aigüe gauche sur tendinopathie fissuraire, cervicaux dorsaux lombalgie aigüe sur trouble statique de la colonne lombaire sur discopathie L5-S1, sur séquelles d’une ancienne maladie de Scheuermann et sur probable instabilité cervicale – glissement antérieur de C4 et rétrolisthésis de C5, goitre, tachycardie sinusale, épigastralgie sur gastrite aigüe, état anxio-dépressif chronique avec crises de panique, fibromyalgie, hypotension orthostatique, lupus cutané, troubles somatoformes dans un contexte de syndrome douloureux chronique, et céphalées chroniques. Il s’agit des mêmes diagnostics que ceux énumérés dans son précédent rapport du 29 janvier 2024, que les experts ont étudié (p. 11). Le médecin traitant ne fait donc état d’aucun élément médical objectif qui aurait été omis par les experts.</w:t>
      </w:r>
    </w:p>
    <w:p>
      <w:r>
        <w:t>A/3308/2024 - 14/17 - Dans son rapport du 8 octobre 2024, la médecin généraliste, se référant à son rapport précité d’août 2024, se borne à évaluer l’invalidité de sa patiente à 100%, sans motiver plus avant sa position. Or, une évaluation médicale complète et approfondie, telle que celle des experts du SEM, ne peut pas être remise en cause au seul motif que le médecin traitant évalue différemment la capacité de travail de son patient. Il ne peut en aller différemment que s’il fait état d'éléments objectivement vérifiables qui auraient été oubliés dans le cadre de l’expertise médicale. Tel n'est pas le cas en l'espèce. Les convocations pour des consultations au centre d’antalgie des HUG, agendées entre le 7 avril et le 25 août 2025, les notes de suite établies entre janvier et août 2025 par la Dre L______, médecin cheffe de clinique au service d’anesthésiologie (consultation d’antalgie) des HUG, ainsi que le rapport du 14 octobre 2024 dudit service, relatif à une consultation du 8 octobre 2024, concernent la période postérieure à la décision litigieuse du 3 septembre 2024 et ne sont donc pas de nature à influencer l'appréciation faite au moment où cette décision a été rendue (ATF 121 V 366 consid. 1b et les références). Au demeurant, dans son rapport du 20 août 2025, la Dre L______ rappelle que la recourante souffre d’une fibromyalgie – diagnostic déjà connu des experts –, tout en précisant ne pouvoir se prononcer sur la capacité de travail. De même, la lettre de sortie de la clinique N______ du 3 février 2025 n’est pas pertinente dans le cadre de la présente procédure : elle mentionne le diagnostic de trouble dépressif récurrent, épisode actuel de dépression moyenne (F33.1). S’il s’agit certes d’un nouveau diagnostic, ce dernier n’a été émis que postérieurement à la décision litigieuse du 3 septembre 2024. Cette pièce médicale n’est donc pas susceptible de modifier l’appréciation du cas à ce stade. Enfin, dans un rapport du 13 août 2025, la psychiatre traitante indique que la recourante a présenté un trouble dépressif moyen avec une capacité de travail de 50% (de janvier à décembre 2023 et depuis octobre 2024) et un trouble dépressif léger avec une capacité de travail de 70% de janvier à septembre 2024. Elle considère que les indices jurisprudentiels de gravité de novembre 2017 pour les troubles dépressifs récurrents moyens et légers n’ont pas été discutés par l’expert et qu’un trouble dépressif moyen ou léger est suffisamment grave selon la CIM-10 pour retenir une détresse significative. Elle ajoute que la recourante ne prend aucune décision et que sa famille l’aide pour les tâches administratives. À cet égard, le SMR, dans son avis du 1er septembre 2025, a relevé qu’il ressortait de l’expertise que les limitations invoquées ne se manifestaient pas de la même manière dans toutes les fonctions de la vie quotidienne, que la recourante disposait de ressources, qu’elle n’avait pas de suivi psychiatrique à la date de l’expertise et qu’aucun traitement médicamenteux ou suivi psychothérapeutique intégré n’était en cours. L’expert psychiatre avait livré un status clinique objectif détaillé et ses conclusions étaient motivées et cohérentes, auxquelles il convenait de se rallier, selon le SMR.</w:t>
      </w:r>
    </w:p>
    <w:p>
      <w:r>
        <w:t>A/3308/2024 - 15/17 - La Cour de céans constate que la psychiatre traitante n’a pas mentionné la date de début du suivi psychiatrique. Lors de l’audience de comparution personnelle du 26 juin 2025, la recourante a affirmé qu’elle consultait depuis huit mois à un an, soit, au plus tôt, depuis juin 2024, c’est-à-dire après l’expertise psychiatrique du 22 avril 2024. Ainsi, en tant que la psychiatre traitante considère que la capacité de travail de la recourante est, pour des motifs psychiques, de 50% à partir de janvier 2023 et de 70% à partir de janvier 2024, force est de constater qu’elle se livre à une appréciation reposant essentiellement sur les données subjectives de la recourante, lesquelles sont insuffisantes pour remettre en cause les constatations objectives de l’expert psychiatre. Pour le surplus, il n'y a pas lieu de nier d'emblée toute valeur probante au rapport d'expertise au motif qu’il ne contiendrait pas une analyse selon les nouveaux indicateurs, mais plutôt d'examiner si ledit rapport permet ou non une appréciation concluante du cas à l'aune des indicateurs déterminants (cf. ATF 141 V 281 consid. 8). Il revient en outre aux organes chargés de l'application du droit (soit à l'administration ou au tribunal en cas de litige) de procéder à l'appréciation définitive de la capacité de travail de l'intéressée (ATF 140 V 193 consid. 3.2). Or, il a été procédé supra à l’examen complet de la fibromyalgie et des troubles psychiques de la recourante à l’aune des indicateurs développés dans l'ATF 141 V 281 sur la base des informations au dossier, ce qui permet en conséquence de statuer valablement. Partant, en l'absence de rapport médical susceptible de jeter le doute sur les conclusions des experts du SEM, il convient de se rallier à celles-ci. 4.4 Reste à se prononcer sur le degré d’invalidité de la recourante. 4.4.1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(art. 16 LPGA et 28a al. 1 1re phrase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348 consid. 3.4).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(cf. ATF 114 V 310 consid. 3a ; arrêt du Tribunal fédéral 9C_562/2022 du 12 septembre 2023 consid. 6 et les références). 4.4.2 En l’occurrence, il sera rappelé que la capacité résiduelle de travail de la recourante est exploitable entre 80 et 90% dans toute activité, y compris dans son</w:t>
      </w:r>
    </w:p>
    <w:p>
      <w:r>
        <w:t>A/3308/2024 - 16/17 - activité habituelle, conformément aux conclusions des experts. Même à retenir qu’elle présente, au mieux, une capacité résiduelle de travail de 80% dans son activité habituelle, c’est-à-dire une incapacité de travail de 20% dans cette activité, l'incapacité de travail correspond à une incapacité de gain de 20%. Or, le degré d’invalidité de 20% étant inférieur au seuil légal de 40%, la recourante n’a pas droit à une rente d’invalidité. Dans la mesure où la recourante est toujours en mesure d’exercer son activité habituelle à 80% au moins, aucune mesure professionnelle ne se justifie en l’occurrence (cf. ATAS/717/2016 précité consid. 11). Compte tenu de ces éléments, la décision litigieuse doit être confirmée. 5. Au vu de ce qui précède, le recours sera rejeté et la recourante condamnée au paiement d'un émolument de CHF 200.- (art. 69 al.1bis LAI).</w:t>
      </w:r>
    </w:p>
    <w:p>
      <w:r>
        <w:t>***</w:t>
      </w:r>
    </w:p>
    <w:p>
      <w:r>
        <w:t>A/3308/2024 - 17/17 -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