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ATAS/357/2025 vom 19. Mai 2025</w:t>
      </w:r>
    </w:p>
    <w:p>
      <w:r>
        <w:t>GE Cour de justice, 2025-05-19, FR</w:t>
      </w:r>
    </w:p>
    <w:p>
      <w:r>
        <w:rPr>
          <w:b/>
        </w:rPr>
        <w:t xml:space="preserve">Quelle: </w:t>
      </w:r>
      <w:r>
        <w:t>https://mcp.opencaselaw.ch/entscheid/ge_gerichte_ATAS_357_2025</w:t>
      </w:r>
    </w:p>
    <w:p>
      <w:r>
        <w:t>FR: GE_GERICHTE ATAS/357/2025 du 19 mai 2025</w:t>
      </w:r>
    </w:p>
    <w:p>
      <w:r>
        <w:t>IT: GE_GERICHTE ATAS/357/2025 del 19 maggio 2025</w:t>
      </w:r>
    </w:p>
    <w:p>
      <w:pPr>
        <w:pStyle w:val="Heading2"/>
      </w:pPr>
      <w:r>
        <w:t>Erwägungen</w:t>
      </w:r>
    </w:p>
    <w:p>
      <w:r>
        <w:rPr>
          <w:b/>
        </w:rPr>
        <w:t>E. 11</w:t>
      </w:r>
    </w:p>
    <w:p>
      <w:r>
        <w:t>ans à l'arrivée de cette dernière en Suisse. Au vu de l'ensemble des éléments qui précèdent, et notamment du fait que la recourante n'a jamais travaillé à 100% depuis son arrivée en Suisse, le dossier ne permet pas d'étayer par des indices concrets suffisants la volonté hypothétique de l’intéressée de travailler à plein temps en bonne santé, laquelle ne saurait donc être considérée comme établie au degré de la vraisemblance prépondérante. Il s'ensuit que les demandes d'audition du fils de la meilleure amie de la recourante et de l'époux de la recourante sur la question du statut doivent être rejetées, par appréciation anticipée des preuves. Néanmoins, au regard du fait que la recourante s'est inscrite au chômage en 2006, puis a travaillé pendant deux ans à 25% à compter de 2007, l'intimé ne pouvait retenir un statut de personne se consacrant entièrement aux travaux habituels et aurait dû arrêter un statut mixte d'une assurée active à 25% et se consacrant au ménage à 75%. Dans ces circonstances, le grief sera partiellement admis et un statut mixte de 75% non active et 25% active sera retenu. 6. La recourante remet en cause les conclusions de l'enquête économique sur le ménage. 6.1 Selon l’art. 27bis RAI en vigueur depuis le 1er janvier 2018 jusqu’au 31 décembre 2021, pour les personnes qui exercent une activité lucrative à temps partiel et accomplissent par ailleurs des travaux habituels visés à l'art. 7 al. 2 LAI,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w:t>
      </w:r>
    </w:p>
    <w:p>
      <w:r>
        <w:t>A/737/2024 - 22/27 -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(Ralph LEUENBERGER/Gisela MAURO, Changements dans la méthode mixte, in Sécurité sociale/CHSS n. 1/2018 p. 45). 6.2 De même que pour les assurés actifs, l'incapacité de travail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w:t>
      </w:r>
    </w:p>
    <w:p>
      <w:r>
        <w:t>A/737/2024 - 23/27 - consid. 4.2 et les références ; arrêt du Tribunal fédéral 9C_191/2021 du 25 novembre 2021 consid. 6.2.2 et les références). 6.3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6.4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w:t>
      </w:r>
    </w:p>
    <w:p>
      <w:r>
        <w:t>A/737/2024 - 24/27 -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 6.5 En l'espèce, la recourante critique l'enquête ménagère, à laquelle elle reproche de ne pas tenir compte de ses problèmes de santé psychiques la limitant dans la tenue de son ménage et prenant en considération à tort que son mari pouvait l'aider alors que son aide n'était pas exigible en raison des atteintes à sa santé. 6.5.1 Si le rapport d'enquête économique a été établi par une personne qualifiée au domicile de l'intéressée, il repose uniquement sur les diagnostics et limitations fonctionnelles retenus par le SMR dans ses avis des 2 septembre 2021 et 16 mars 2022, alors que la recourante a déclaré à l'enquêtrice qu'elle bénéficiait d'un suivi psychiatrique depuis janvier 2023, avec un suivi mensuel par un psychiatre et hebdomadaire par un psychologue. La recourante a ce faisant informé l'évaluatrice</w:t>
      </w:r>
    </w:p>
    <w:p>
      <w:r>
        <w:t>A/737/2024 - 25/27 - de l'existence d'un aspect psychiatrique, jusqu'alors inconnu de l'intimé et non instruit. Le SMR, qui n'en avait pas connaissance lors de ses précédents avis, ne s'est ainsi non seulement prononcé sur l'aspect psychiatrique qu'après l'enquête ménagère, mais il n'a en outre dans ce cadre pas arrêté clairement le diagnostic retenu, les deux attestations de médecins figurant à la procédure faisant état pour l'une d'un trouble dépressif chronique et pour l'autre d'un état dépressif sévère, et s'est contenté de rapporter certaines limitations fonctionnelles soulignées par la psychiatre, sans arrêter de liste des limitations fonctionnelles à retenir sur le plan psychique. Il a ensuite conclu qu'entre les mois de mai 2022, moment de réalisation de l'enquête ménagère, et août 2022, moment de la rédaction du rapport médical psychiatrique de la Dre M______, il n'y avait pas d'aggravation de l'état de santé de l'assurée, ni sur le plan somatique, ni sur le plan psychiatrique, et qu'au contraire, le traitement psychiatrique était arrêté en raison des effets secondaires, était optimalisé et venait d'être réinitialisé, ce qui pouvait laisser, théoriquement, la place à une amélioration. Or, même en l'absence de péjoration de l'état de santé sur le plan psychique, ledit état devait être établi pour que l'enquêtrice puisse prendre en compte les empêchements résultant des diagnostics retenus, ce qui n'a pas été fait. L'enquête réalisée ne repose par conséquent pas sur une évaluation médicale complète et une nouvelle enquête économique sur le ménage devra être effectuée une fois les diagnostics et limitations existant sur le plan psychique établis. 6.5.2 Par ailleurs, en ce qui concerne l'époux de la recourante, l'enquête mentionne uniquement le diabète de type II, n'entraînant aucun facteur susceptible de réduire l'exigibilité de son aide. Or, la recourante a versé à la procédure des attestations de médecins indiquant qu'il souffre également de fibrillation auriculaire permanente dans le contexte d'une régurgitation mitrale modérée avec une dilatation modérée à sévère de l'oreillette gauche et une fraction d'éjection ventriculaire gauche conservée, la maladie se manifestant par des palpitations, dyspnée à l'effort rendant difficiles certaines activités physiques, y compris les tâches quotidiennes. Ce point, non pris en compte lors de l'enquête ménagère, doit également être instruit pour déterminer si et quelle aide de l'époux de la recourante peut être considérée comme exigible. 6.5.3 Au vu de ce qui précède, une nouvelle enquête économique sur le ménage devra être réalisée après instruction des atteintes à la santé psychique de la recourante et en réexaminant l'aide exigible du mari de la recourante au regard des atteintes à la santé de ce dernier susmentionnées. 7. Dans ces circonstances, le recours sera partiellement admis, la décision de l'intimé sera annulée et le dossier sera renvoyé à ce dernier, pour instruction des atteintes</w:t>
      </w:r>
    </w:p>
    <w:p>
      <w:r>
        <w:t>A/737/2024 - 26/27 - psychiatriques de la recourante et nouvelle enquête ménagère prenant celles-ci en compte et incluant une nouvelle instruction de l'aide exigible du mari de la recourante, puis nouvelle décision prenant en compte un statut mixte de 25% professionnellement active et 75% consacrés aux travaux habituels. 8. 8.1 La recourante obtenant partiellement gain de cause, une indemnité de CHF 1'500 lui est accordée à titre de participation aux dépens, à la charge de l'intimé (art. 61 let. g LPGA ; art. 89H al. 3 LPA ; art. 6 du règlement sur les frais, émoluments et indemnités en procédure administrative du 30 juillet 1986 - RFPA - E 5 10.03). 8.2 Au vu du sort du recours, il y a lieu de condamner l'intimé au paiement d'un émolument de CHF 200.- (art. 69 al. 1bis LAI).</w:t>
      </w:r>
    </w:p>
    <w:p>
      <w:r>
        <w:t>A/737/2024 - 27/27 -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