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ATAS/357/2024 vom 21. Mai 2024</w:t>
      </w:r>
    </w:p>
    <w:p>
      <w:r>
        <w:t>GE Cour de justice, 2024-05-21, FR</w:t>
      </w:r>
    </w:p>
    <w:p>
      <w:r>
        <w:rPr>
          <w:b/>
        </w:rPr>
        <w:t xml:space="preserve">Quelle: </w:t>
      </w:r>
      <w:r>
        <w:t>https://mcp.opencaselaw.ch/entscheid/ge_gerichte_ATAS_357_2024</w:t>
      </w:r>
    </w:p>
    <w:p>
      <w:r>
        <w:t>FR: GE_GERICHTE ATAS/357/2024 du 21 mai 2024</w:t>
      </w:r>
    </w:p>
    <w:p>
      <w:r>
        <w:t>IT: GE_GERICHTE ATAS/357/2024 del 21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les forme et délai légaux, le recours est recevable (art. 56 al. 1 et 60 al. 1 LPGA ; art. 62 al. 1 let. a de la loi sur la procédure administrative du 12 septembre 1985 [LPA - E 5 10] ; art. 9 de la loi cantonale du 14 octobre 1965 sur les prestations fédérales complémentaires à l’assurance-vieillesse et survivants et à l’assurance-invalidité [LPFC - J 4 20] ; art. 43 LPCC). 2. Le litige porte uniquement sur la date à partir de laquelle doit être prise en compte la diminution de salaire de l’épouse du recourant, étant rappelé que ce dernier ne conteste plus la prise en considération d’un revenu hypothétique pour son épouse à partir du 1er juin 2023. 3. Dans le cadre de la réforme de la LPC, entrée en vigueur le 1er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En l'occurrence, en tant que la décision litigieuse porte sur le droit aux prestations complémentaires du recourant pour la période postérieure au 1er janvier 2021, la LPC est applicable dans sa nouvelle teneur. 4. En vertu de l'art. 9 al. 1 LPC, le montant de la prestation complémentaire annuelle correspond à la part des dépenses reconnues qui excède les revenus déterminants. Selon l’art. 11 al. 1 LPC, les revenus déterminants comprennent notamment les rentes, pensions et autres prestations périodiques. S’agissant des prestations complémentaires cantonales, l’art. 4 LPCC prévoit qu’ont droit aux prestations complémentaires cantonales les personnes dont le revenu annuel déterminant n’atteint pas le revenu minimum cantonal d’aide sociale applicable. L’art. 5 LPCC précise que le revenu déterminant est calculé</w:t>
      </w:r>
    </w:p>
    <w:p>
      <w:r>
        <w:t>A/4217/2023 - 6/9 - conformément aux règles fixées dans la loi fédérale et ses dispositions d'exécution, moyennant certaines adaptations. 4.1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4.2 Conformément à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Selon l'art. 25 al. 2 OPC-AVS/AI, la nouvelle décision doit porter effet,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(let. c). En vertu de l'art. 19 LPCC, la prestation est modifiée selon les règles prévues en matière de prestations complémentaires fédérales à l'assurance-vieillesse, survivants et invalidité. 4.3 L'art. 25 OPC-AVS/AI permet d'adapter une décision de prestations complémentaires à des modifications postérieures de la situation personnelle et économique de l'ayant-droit en raison d'un changement de circonstances (ATF 119 V 189 consid. 2c ; arrêt du Tribunal fédéral 9C_675/2012 du 15 novembre 2012 consid. 3.1). L'al. 1 de cette disposition règle la modification</w:t>
      </w:r>
    </w:p>
    <w:p>
      <w:r>
        <w:t>A/4217/2023 - 7/9 -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(arrêt du Tribunal fédéral 9C_328/2014 du 6 août 2014 consid. 5.2). L'art. 25 al. 2 let. b OPC-AVS/AI, qui selon la jurisprudence exclut un effet rétroactif plus ample, part de l'idée que les changements des circonstances sont annoncés sans tarder (cf. art. 24 OPC-AVS/AI sur l'obligation de renseigner ; arrêt du Tribunal fédéral 8C_305/2007 du 23 avril 2008 consid. 4 et la référence). Si tel n'est pas le cas, l'assuré perd le droit à une prestation complémentaire plus élevée pour la période se situant entre le changement et celui de l'annonce. Le droit à des paiements arriérés est ainsi limité (Michel VALTERIO, Commentaire de la loi fédérale sur les prestations complémentaires à l'AVS et à l'AI, 2015, n. 170 ad art. 21 LPC et la référence ; ATAS/531/2022 du 13 juin 2022 consid. 9.1).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ne conteste pas que le changement de la situation déterminante relève de l'application des art. 25 al. 1 let. c et 25 al. 2 let. b OPC-AVS/AI. Il considère toutefois que ces dispositions permettraient de prendre en compte la diminution de salaire dès sa survenance, sans égard à la date de son annonce. La chambre de céans rappellera donc que le bénéficiaire qui omet d’annoncer un changement concernant ses dépenses reconnues, ses revenus déterminants ou sa fortune perd le droit à une prestation complémentaire plus élevée pour la période se situant entre le changement et celui de l'annonce, et que le droit à des paiements arriérés est limité. En l’occurrence, l’intéressé a indiqué à l’intimé, dans le formulaire de révision périodique du 16 novembre 2021, que le salaire de son épouse s’élevait à CHF 13'447.-, montant confirmé par le certificat de salaire pour l’année 2020 joint. Ce revenu a dûment été pris en considération par l’intimé dès sa décision du</w:t>
      </w:r>
    </w:p>
    <w:p>
      <w:r>
        <w:rPr>
          <w:b/>
        </w:rPr>
        <w:t>E. 8</w:t>
      </w:r>
    </w:p>
    <w:p>
      <w:r>
        <w:t>décembre 2021, et ce jusqu’à ce que le recourant l’informe de la baisse de salaire de son épouse et lui transmette les certificats de salaire annuel, en date du 15 mai 2023.</w:t>
      </w:r>
    </w:p>
    <w:p>
      <w:r>
        <w:t>A/4217/2023 - 8/9 - Il incombait au recourant d’annoncer la diminution de revenu de son épouse sans attendre de recevoir l’attestation annuelle, en se basant sur les pièces à sa disposition, comme par exemple le contrat de travail de sa femme, ses fiches de salaire mensuel ou encore ses relevés bancaires. L’obligation de renseigner a par ailleurs été rappelée par l’intimé au recourant à réitérées reprises. À toutes fins utiles, il sera encore observé que les quatre fiches de salaire également produites le 16 novembre 2021 ne permettaient pas à l’intimé de constater une baisse de revenu en 2021, puisque ces documents font état de revenus nets oscillant entre CHF 1'583.80 (juillet 2021) et CHF 924.20 (août et septembre 2021), en fonction d’un 13ème salaire, d’heures supplémentaires ou encore d’une « prime progression ». Ainsi, le recourant ayant signalé la diminution du revenu déterminant de son épouse le 15 mai 2023 seulement, c’est à juste titre que l’intimé n’a pris en considération cette modification qu’à compter du début du mois auquel elle a été annoncée, soit à partir du début du mois de mai 2023. Il s'ensuit que la décision sur opposition du 2 novembre 2023 est bien fondée. 7. Au vu de ce qui précède, le recours sera rejeté. Pour le surplus, la procédure est gratuite (art. 61 let. fbis a contrario LPGA).</w:t>
      </w:r>
    </w:p>
    <w:p>
      <w:r>
        <w:t>A/4217/2023 - 9/9 -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