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ATAS/357/2023 vom 23. Mai 2023</w:t>
      </w:r>
    </w:p>
    <w:p>
      <w:r>
        <w:t>GE Cour de justice, 2023-05-23, FR</w:t>
      </w:r>
    </w:p>
    <w:p>
      <w:r>
        <w:rPr>
          <w:b/>
        </w:rPr>
        <w:t xml:space="preserve">Quelle: </w:t>
      </w:r>
      <w:r>
        <w:t>https://mcp.opencaselaw.ch/entscheid/ge_gerichte_ATAS_357_2023</w:t>
      </w:r>
    </w:p>
    <w:p>
      <w:r>
        <w:t>FR: GE_GERICHTE ATAS/357/2023 du 23 mai 2023</w:t>
      </w:r>
    </w:p>
    <w:p>
      <w:r>
        <w:t>IT: GE_GERICHTE ATAS/357/2023 del 23 maggio 2023</w:t>
      </w:r>
    </w:p>
    <w:p>
      <w:pPr>
        <w:pStyle w:val="Heading2"/>
      </w:pPr>
      <w:r>
        <w:t>Erwägungen</w:t>
      </w:r>
    </w:p>
    <w:p>
      <w:r>
        <w:rPr>
          <w:b/>
        </w:rPr>
        <w:t>E. 21</w:t>
      </w:r>
    </w:p>
    <w:p>
      <w:r>
        <w:t>janvier 2022, à neuf mois de la dernière intervention chirurgicale (arthrodèse), la Dre F______ a indiqué qu'on ne pouvait plus s'attendre à une amélioration importante de la situation médicale du recourant (dossier intimée pièce 273), malgré la prescription de physiothérapie (pièce 261). 11.2 Il n’est pas contesté par l’intimée que le recourant ne peut plus exercer son activité habituelle d'aide-monteur en ventilation en raison de son atteinte à la santé consécutive à l'accident survenu le 23 avril 2018. 11.3 Le recourant conteste l'exigibilité retenue à 100% dans une activité adaptée, en reprochant à l'intimée de ne pas avoir suffisamment instruit son cas sur le plan médical. 11.3.1 La décision litigieuse repose sur l'appréciation du 15 mars 2022 du Dr G______, médecin de l'intimée, qui renvoie à celle du 22 septembre 2020 du Dr D______ (dossier intimée pièce 279), dans laquelle ce dernier a conclu que le recourant est apte à exercer à plein temps une activité adaptée, essentiellement en position assise, permettant quelques déplacements, sans marche sur terrains instables ni utilisation d'échelles ou d'escaliers, et évitant le port de charges supérieures à 15 kg (pièce 191). 11.3.2 Dans son appréciation du 10 octobre 2022, le Dr G______, qui a étudié les pièces médicales au dossier, y compris la documentation radiologique, motive, de manière circonstanciée, les raisons pour lesquelles il confirme ses précédentes conclusions. Il constate que les radiographies réalisées plusieurs mois après l'arthrodèse montraient une évolution favorable avec une consolidation. La dernière IRM du 18 janvier 2022 (dossier intimée pièce 277), effectuée en raison des douleurs persistantes invoquées, était rassurante, et elle n'avait révélé aucune atteinte, en particulier fascite plantaire ou tendinopathie achilléenne, fracture de stress du calcanéum ou panniculite plantaire susceptible d'expliquer l'origine des douleurs. Il ajoute que, dans leur rapport du 18 janvier 2022 ‒ fondé sur l'examen personnel du recourant ‒, les médecins-traitants (les Drs E______ et F______) décrivaient une arthrodèse qui avait bien guéri, une cheville sans enflure et une marche lente, mais fluide. Le Dr G______ explique que, après arthrodèse tibio-talienne dont la consolidation est confirmée, la déambulation en terrain plat sur de courtes distances, la station debout non prolongée et le port de charges légères sont possibles. Dans ces circonstances, il considère que les limitations fonctionnelles retenues le 20 (recte : 22 septembre 2020) par le Dr D______ sont transposables à la situation après arthrodèse de la cheville dont la consolidation est objectivée par l'examen CT du 31 août 2021 (dossier intimée pièce 256). Les conclusions étayées du Dr G______, qui reposent sur suffisamment d'appréciations médicales qui, elles, se fondent sur l'examen personnel du recourant (rapports de consultation des médecins-traitants, dossier radiologique), emportent la conviction.</w:t>
      </w:r>
    </w:p>
    <w:p>
      <w:r>
        <w:t>A/2953/2022 - 10/18 - Dans un certificat du 7 septembre 2022, le Dr B______ se limite à indiquer que l'arthrodèse de la cheville droite a rendu compliquée sinon impossible toute activité professionnelle à 100%. Dans un rapport du 7 septembre 2022, la Dre H______ se contente également de mentionner que l'exigibilité d'une activité professionnelle adaptée ou non à 100% ne peut être attendue, sans la moindre explication. Ces médecins n'apportent aucun élément objectif nouveau, qui aurait été ignoré par le Dr G______. Partant, la seule appréciation différente de la capacité de travail ne suffit pas à jeter le discrédit sur les conclusions de celui-ci. Quant au rapport du 25 octobre 2022 du Dr B______, dans lequel il relève que les séquelles de la jambe droite du recourant consécutives à l'accident de travail ne lui permettent plus une station debout et/ou assise prolongée, que le port de charges est impossible, que son patient souffre de douleurs nocturnes, et que ces circonstances rendent circonspects quant à la reprise de travail, l'on constate qu'il fait état de faits déjà connus (douleurs) et que les limitations fonctionnelles qu'il a retenues sont superposables à celles admises par le Dr G______ (soit la nécessité d'alterner les positions), étant souligné, que de l'aveu même du recourant (mémoire de recours p. 15 let. h), il peut porter des charges légères, comme l'indique le Dr G______. Par conséquent, la chambre de céans admet, avec le Dr G______, que le recourant dispose d'une capacité de travail entière dans une activité adaptée. 11.3.3 Aussi n'est-il pas nécessaire, par appréciation anticipée des preuves (ATF 122 II 464 consid. 4a), de mettre en œuvre une expertise judiciaire. 12. Reste à se prononcer sur le degré d'invalidité du recourant. 12.1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12.2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t>A/2953/2022 - 11/18 - 12.3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135 V 297 consid. 5.1 et les références ; 134 V 322 consid. 4.1 et les références). 12.4 L'évaluation de l'invalidité par l'assurance-invalidité n'a pas de force contraignante pour l'assureur-accidents ; de même, l'assurance-invalidité n'est pas liée par l'évaluation de l'invalidité de l'assurance-accidents. Pour établir le salaire réalisé en dernier lieu et son évolution subséquente, on se fondera en premier lieu sur les renseignements fournis par l'employeur (arrêt du Tribunal fédéral 8C_679/2020 du 1er juillet 2021 consid. 5.1 et les références). 12.5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(cf. ATF 119 V 475 consid. 2b et les références ; arrêt du Tribunal fédéral 8C_664/2007 du 14 avril 2008 consid. 7.2.2 à 7.2.5 et les références). 12.6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Il y a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valeur statistique – médiane – s'applique, en principe, à tous les assurés qui ne peuvent plus accomplir leur ancienne activité</w:t>
      </w:r>
    </w:p>
    <w:p>
      <w:r>
        <w:t>A/2953/2022 - 12/18 -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À cet égard, l’ESS 2020 a été publiée le 23 août 2022, l'ESS 2018 le 21 avril 2020.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12.7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w:t>
      </w:r>
    </w:p>
    <w:p>
      <w:r>
        <w:t>A/2953/2022 - 13/18 -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13.</w:t>
      </w:r>
    </w:p>
    <w:p>
      <w:r>
        <w:t>13.1 Pour la comparaison des revenus, il convient de se placer au moment de la naissance du droit à la rente de l’assurance-accidents (arrêt du Tribunal fédéral des assurances U.311/02 du 4 février 2003 consid. 4.1). Dès lors que l'intimée a clos le dossier au 30 avril 2022 (consid. 11.1 ci-dessus) et que des mesures de réadaptation de l'assurance-invalidité n'ont pas été mises en œuvre (décision du 14 mai 2021 de l'OAIE ; art. 19 al. 1 LAA), il y a lieu d'examiner les conditions du droit à une rente d’invalidité dès le 1er mai 2022. La comparaison des revenus doit donc se faire au regard de cette année-là, comme l’a fait à juste titre l’intimée. 13.2 S’agissant du revenu annuel sans invalidité que le recourant aurait pu obtenir en 2022 dans son ancienne activité s’il n’avait pas été atteint dans sa santé, l'intimée a retenu un montant de CHF 58'202.- obtenu selon le calcul suivant : CHF 25.20 (salaire horaire minimum prévu par la convention collective de travail [CCT] applicable) × 41 heures de travail hebdomadaires × 52 semaines par année + 8.33% (13e salaire). 13.2.1 Le recourant conteste ce montant, en reprochant à l'intimée de ne pas avoir tenu compte des indemnités sur le salaire horaire afférent aux vacances et aux jours fériés. Selon lui, son revenu de valide qu'il a arrêté à CHF 65'857.50 se calcule comme suit : CHF 30.89 (salaire horaire minimum prévu par la CCT applicable incluant le salaire horaire de base [25.20], l'indemnité de jours fériés [0.90], l'indemnité de vacances [2.41], et l'indemnité 13e salaire [2.38]) × 41 heures hebdomadaires × 52 semaines par année. Il fait valoir que, ce faisant, il ne compte pas deux fois les vacances et les jours fériés, car le taux d'indemnité de vacances de 9.24% et le taux d'indemnité pour jours fériés de 3.59% tiennent d'ores et déjà compte de la déduction des jours de vacances, respectivement des jours fériés. 13.2.2 Il ressort du dossier que le recourant percevait de son ancien employeur un salaire brut qui englobait les indemnités pour jours de vacances de 9.24% et pour</w:t>
      </w:r>
    </w:p>
    <w:p>
      <w:r>
        <w:t>A/2953/2022 - 14/18 - jours fériés de 3.59%, prévues par la CCT applicable (dossier intimée pièces 4 et 15). Lorsque le salaire horaire comprend l'indemnité de vacances et l'indemnité pour jours fériés ‒ comme en l'espèce ‒, les jours correspondants de vacances et de congés doivent être déduits du temps de travail annuel (arrêt du Tribunal fédéral 9C_249/2020 du 3 décembre 2020 consid. 5.1). Durant l'année 2022, le recourant aurait, à raison de 8.20 heures par jour (l'horaire de travail dans l'entreprise étant de 41 heures hebdomadaires), effectivement travaillé 232 jours (365 jours - 52 dimanches - 53 samedis - 6 jours fériés (vendredi 15 avril [Vendredi-Saint], lundi 18 avril [Pâques], jeudi 26 mai [Ascension], lundi 6 juin [Pentecôte], lundi 1er août [Fête nationale], et jeudi 8 septembre [Jeûne genevois], le Nouvel An, Noël et la Restauration de la République tombant sur un samedi ou un dimanche ; cf. https://www.ge.ch/vacances-scolaires-jours-feries/jours-feries-officiels-2022- 2027) - 22 jours de vacances (un taux d'indemnité de vacances de 10.64% correspond à 25 jours de vacances [cf. arrêt du Tribunal fédéral 8C_401/2018 du 16 mai 2019 consid. 4.4] ; partant, un taux d'indemnité de vacances ici de 9.24% correspond à 22 jours de vacances [9.24 × 25 / 10.64 = 21.71]). Le recourant argue que, dans la mesure où le taux d'indemnité de vacances de 9.24% s'obtient comme suit : 52 semaines de travail × 5 jours de travail par semaine = 260 jours - 22 jours de vacances = 238 jours ; 9.24% = 22 / 238 × 100, il n'y a pas lieu de déduire les vacances du temps de travail annuel, celles-ci étant déjà déduites des 260 jours. Or, dans l'arrêt 8C_401/2018 précité (consid. 4.4), les jours de vacances ont été déduits du temps de travail annuel, quand bien même le taux d'indemnité de vacances de 10.64% découle du même calcul qu'effectue le recourant : 52 semaines de travail × 5 jours de travail par semaine = 260 jours -</w:t>
      </w:r>
    </w:p>
    <w:p>
      <w:r>
        <w:rPr>
          <w:b/>
        </w:rPr>
        <w:t>E. 25</w:t>
      </w:r>
    </w:p>
    <w:p>
      <w:r>
        <w:t>jours de vacances = 235 jours ; 10.64% = 25 / 235 × 100. Ceci étant précisé, compte tenu d'un salaire horaire de CHF 28.51 (25.20 [salaire de base] + 0.90 [jours fériés] + 2.41 [vacances]), il en résulte un revenu annuel sans invalidité de CHF 58'755.40 (28.51 × 8.2 × 232 = 54'237.42, auquel vient s'ajouter le droit au 13e salaire [8.33%], soit CHF 4'517.98). 13.3 Pour ce qui est du revenu avec invalidité, dès lors que le recourant n’a pas repris d’activité professionnelle, il convient de l'évaluer sur la base des statistiques salariales figurant dans l’ESS. En ce qui concerne l’année de référence des tableaux statistiques à appliquer, l’ESS 2018 a été publiée le 21 avril 2020; l’ESS 2020, le 23 août 2022. Dès lors qu’au moment où la décision litigieuse a été rendue, le 9 août 2022, l’intimée ne disposait pas des données 2020, le salaire avec invalidité doit être déterminé sur la base des données 2018 (arrêt du Tribunal fédéral 8C_655/2016 du 4 août 2017 consid. 6.3) et être indexé jusqu’à la date de l’ouverture du droit à la rente, soit le 1er mai 2022 (ATF 129 V 222 consid. 4.1 et 4.2).</w:t>
      </w:r>
    </w:p>
    <w:p>
      <w:r>
        <w:t>A/2953/2022 - 15/18 - 13.3.1 Dans la décision litigieuse, l'intimée a retenu un revenu d'invalide de CHF 66'254.-, calculé comme suit : CHF 5'417.- (tableau TA1_tirage_skill_level de l'ESS 2018, niveau 1, total, homme, part au 13ème salaire comprise) × 12 = CHF 65'004.- par année, ajusté à la durée hebdomadaire normale de travail en 2018 (41.7 heures), soit un salaire annuel de CHF 67'766.67 (CHF 65'004.- × 41.7 / 40), lequel a été adapté à l'évolution des salaires nominaux (+ 0.9% en 2019, + 0.8% en 2020, - 0.7% en 2021, et + 1.9% en 2022), et auquel un abattement de 5% a été appliqué. 13.3.2 Le recourant évalue son revenu d'invalide à CHF 24'392.86. Il indique que le salaire ESS reflète celui obtenu par des personnes valides ne souffrant d'aucun handicap, raison pour laquelle il se réfère plutôt à un tableau établi par un groupe d'experts qui distingue le niveau des salaires en fonction de la pénibilité du travail, et dont il ressort que le salaire statistique pour un homme dans une activité légère du secteur privé s'élève à CHF 4'547.-. Il estime que ce salaire doit être réduit de 15% compte tenu de ses limitations fonctionnelles importantes, et de l'éloignement du marché du travail, et qu'il ne peut exercer qu'une activité à mi- temps. Il ajoute qu'il ne faut pas indexer les salaires pour les années 2020 à 2022, car les données y relatives n'étaient pas fiables. 13.3.3 Quand bien même selon des recherches scientifiques, les personnes atteintes dans leur santé seraient moins bien traitées avec la prise en considération de la valeur médiane de l'ESS, le Tribunal fédéral a estimé, dans un arrêt de principe, qu’il n'y a pas de motif sérieux et objectif de modifier la jurisprudence selon laquelle la détermination du revenu d'invalide sur la base des valeurs statistiques se fonde en principe sur la valeur centrale, respectivement médiane, de l'ESS (ATF 148 V 174 consid. 9.2.3 et 9.2.4). Ainsi, il y a lieu de se référer, comme l'a fait à juste titre l'intimée, au tableau TA1_tirage_skill_level de l'ESS 2018, dont il ressort que le revenu statistique tiré d'activités physiques ou manuelles simples dans le secteur privé s'élève à CHF 5'417.- pour un homme (niveau 1, total, part au 13ème salaire comprise), ou à CHF 65'004.- par année pour un plein temps (5'417 × 12). Ce salaire hypothétique se base toutefois sur une durée hebdomadaire de travail de 40 heures, inférieure à la moyenne usuelle dans les entreprises. Il convient dès lors de l’ajuster à la durée hebdomadaire normale de travail en 2018 (arrêt du Tribunal fédéral 9C_603/2015 du 25 avril 2016 consid. 8.1), laquelle est de 41.7 heures (tableau « Durée normale du travail dans les entreprises selon la division économique » de l’OFS), ce qui porte le salaire annuel à CHF 67'766.67 pour un plein temps (65'004 × 41.7 / 40). Contrairement à ce que pense le recourant et conformément à la jurisprudence, il y a lieu d'adapter ce montant à l'évolution des salaires nominaux jusqu'au moment de la naissance du droit (éventuel) à la rente (consid. 12.3 ci-dessus ; arrêts du Tribunal fédéral 8C_444/2021 du 29 avril 2022 consid. 4.1 et 4.3.4). Ainsi, il y a</w:t>
      </w:r>
    </w:p>
    <w:p>
      <w:r>
        <w:t>A/2953/2022 - 16/18 - lieu d'indexer ce montant à 2022, année déterminante pour la comparaison des revenus. Selon le tableau T1.93 publié par l'OFS, les salaires nominaux des hommes ont évolué comme suit : + 0.9% en 2019, + 0.8% en 2020, - 0.7% en 2021, et + 1.1% (et non pas 1.9% comme retenu par l'intimée) en 2022 (disponible sur: https://www.bfs.admin.ch/bfs/fr/home/statistiques/travail-remuneration/salaires- revenus-cout-travail/indice-salaires/par-sexe.assetdetail.24745533.html). Partant, le revenu d'invalide s'élève à CHF 69'193.96 pour un plein temps (67'766.67 + 609.90 en 2019 = 68'376.57 + 547.01 en 2020 = 68'923.58 - 482.465 en 2021 = 68'441.11 + 752.85 en 2022 = 69'193.96). Dans la décision litigieuse, l'intimée a considéré que les circonstances du cas particulier commandaient d'appliquer un abattement de 5% sur le revenu d'invalide. Contrairement aux dires du recourant, l'éloignement du marché du travail ne constitue pas un facteur d'abattement au sens de la jurisprudence (arrêt du Tribunal fédéral 9C_273/2019 du 18 juillet 2019 consid. 6.3 et la référence). Au surplus,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compétences 1, l'influence de la durée de service sur le salaire étant peu importante dans cette catégorie d'emplois (arrêt du Tribunal fédéral 8C_280/2022 du 1er mars 2023 consid. 7.2.4), d'autant moins que le recourant n'a travaillé que deux mois auprès de son dernier employeur avant son accident. Le critère de la nationalité du recourant (frontalier français) ne justifie pas non plus d'abattement sur le salaire statistique, d’autant qu’il ne l'a pas empêché de trouver un emploi en Suisse et que les salaires statistiques sont établis en fonction de la population résidente aussi bien suisse qu'étrangère (arrêt du Tribunal fédéral des assurances I.640/00 du 16 avril 2002 consid. 4d/bb [résumé in : REAS 2002 p. 308]). C'est le lieu de rappeler qu'en vertu des dispositions de l'Annexe I à l'Accord du 21 juin 1999 entre la Confédération suisse, d'une part, et la Communauté européenne et ses États membres, d'autre part, sur la libre circulation des personnes (Accord sur la libre circulation des personnes, ALCP ; RS 0.142.112.681), un ressortissant français a le droit d'exercer une activité économique en Suisse (art. 2 par. 1 annexe I ALCP) et ne peut être, en raison de sa nationalité, traité différemment des travailleurs suisses, notamment en matière</w:t>
      </w:r>
    </w:p>
    <w:p>
      <w:r>
        <w:t>A/2953/2022 - 17/18 - de rémunération (art. 9 par. 1 annexe I ALCP). Ainsi, le recourant ne subit pas un désavantage par rapport à un travailleur suisse du fait de sa nationalité française et de sa qualité de frontalier domicilié en France. Au demeurant, il n'allègue pas avoir été pénalisé par rapport à ses collègues de nationalité suisse lorsqu'il travaillait au service de son dernier employeur (arrêt du Tribunal fédéral 8C_610/2017 du 3 avril 2018 consid. 4.4). Même dans l'hypothèse d'un abattement de 15%, comme le voudrait le recourant, pour tenir compte de ses limitations fonctionnelles ‒ seul critère pouvant justifier une réduction du salaire statistique en l'occurrence ‒, celui-ci n'a aucune incidence sur l'issue du litige. En effet, dans ce cas, le revenu d'invalide s'élèverait à CHF 58'814.85 (69'193.96 - 10'379.09 ; 10'379.09 = 69'193.96 × 15 / 100), lequel est supérieur au revenu sans invalidité de CHF 58'755.40. Partant, le recourant ne subit aucune perte de gain. Aussi n'a-t-il pas le droit à une rente d'invalidité (art. 18 al. 1 LAA). 14. Au vu de ce qui précède, le recours est rejeté. Le recourant, qui succombe, n’a pas droit à des dépens (art. 61 let. g LPGA a contrario). Pour le surplus, la procédure est gratuite (art. 61 let. fbis LPGA a contrario).</w:t>
      </w:r>
    </w:p>
    <w:p>
      <w:r>
        <w:t>A/2953/2022 - 18/18 -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