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ATAS/357/2019 vom 23. April 2019</w:t>
      </w:r>
    </w:p>
    <w:p>
      <w:r>
        <w:t>GE Cour de justice, 2019-04-23, FR</w:t>
      </w:r>
    </w:p>
    <w:p>
      <w:r>
        <w:rPr>
          <w:b/>
        </w:rPr>
        <w:t xml:space="preserve">Quelle: </w:t>
      </w:r>
      <w:r>
        <w:t>https://mcp.opencaselaw.ch/entscheid/ge_gerichte_ATAS_357_2019</w:t>
      </w:r>
    </w:p>
    <w:p>
      <w:r>
        <w:t>FR: GE_GERICHTE ATAS/357/2019 du 23 avril 2019</w:t>
      </w:r>
    </w:p>
    <w:p>
      <w:r>
        <w:t>IT: GE_GERICHTE ATAS/357/2019 del 23 aprile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L’assurée a déposé un recours pour déni de justice à l’encontre de l’assureur.</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w:t>
      </w:r>
    </w:p>
    <w:p>
      <w:r>
        <w:t>A/4058/2018 - 4/6 -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w:t>
      </w:r>
    </w:p>
    <w:p>
      <w:r>
        <w:t>A/4058/2018 - 5/6 - injustifié ne saurait se substituer à l'autorité précédente pour statuer au fond. Elle ne peut qu'inviter l'autorité concernée à statuer à bref délai (ATF 130 V 90).</w:t>
      </w:r>
    </w:p>
    <w:p>
      <w:r>
        <w:rPr>
          <w:b/>
        </w:rPr>
        <w:t>E. 4</w:t>
      </w:r>
    </w:p>
    <w:p>
      <w:r>
        <w:t>En l’espèce, l’assureur a, par décision sur opposition du 6 mars 2017, mis fin aux prestations de l’assurée dès le 20 janvier 2016. Cette décision est entrée en force. Le 11 avril 2018, l’assurée, par l’intermédiaire de son mandataire, a demandé la révision de ladite décision sur opposition, rappelant que l’assureur s’était fondé sur une expertise Corela et faisant valoir la jurisprudence récemment rendue par le Tribunal fédéral concernant cette clinique. Sans nouvelle de l’assureur, elle lui a adressé un rappel le 28 juin 2018. Par courrier du 24 octobre 2018, l’assureur l’a informée qu’il refusait d’entrer en matière, ensuite de quoi l’assurée a déposé le présent recours pour déni de justice.</w:t>
      </w:r>
    </w:p>
    <w:p>
      <w:r>
        <w:rPr>
          <w:b/>
        </w:rPr>
        <w:t>E. 5</w:t>
      </w:r>
    </w:p>
    <w:p>
      <w:r>
        <w:t>En l’occurrence, l’assureur a notifié à l’assurée une décision le 7 mars 2019, de sorte que le recours est devenu sans objet. Même lorsqu’il invoque un déni de justice formel, le recourant doit en effet être en mesure de faire valoir un intérêt actuel et pratique à l'admission de son recours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w:t>
      </w:r>
    </w:p>
    <w:p>
      <w:r>
        <w:rPr>
          <w:b/>
        </w:rPr>
        <w:t>E. 6</w:t>
      </w:r>
    </w:p>
    <w:p>
      <w:r>
        <w:t>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w:t>
      </w:r>
    </w:p>
    <w:p>
      <w:r>
        <w:rPr>
          <w:b/>
        </w:rPr>
        <w:t>E. 7</w:t>
      </w:r>
    </w:p>
    <w:p>
      <w:r>
        <w:t>Le recourant a droit au remboursement des dépens en vertu de la législation fédérale, même lorsque la procédure est sans objet, pour autant que les chances de succès du procès le justifient (ATF 110 V 57, consid. 2a ; RCC 1989, p. 318, consid. 2b). Force est en l’espèce de constater que l’assurée n’a pas expressément demandé la notification d’une décision formelle, ni dans sa demande du 11 avril 2018, comme elle le soutient, ni dans son rappel du 28 juin 2018, ni à réception du courrier du 24 octobre 2018. On ne saurait dès lors reprocher à l’assureur d’avoir violé dans le cas d’espèce le principe de la célérité. Le laps de temps qui s’est écoulé entre la demande du 11 avril 2018 et la réponse du 24 octobre 2018 n’apparaît quoi qu’il en soit pas excessif au point de constituer un déni de justice. Les chances de succès du recours pour déni de justice apparaissent ainsi trop faibles pour justifier l’octroi de dépens à l’assurée. La procédure est gratuite.</w:t>
      </w:r>
    </w:p>
    <w:p>
      <w:r>
        <w:t>A/4058/2018 - 6/6 -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