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ATAS/357/2015 vom 11. Mai 2015</w:t>
      </w:r>
    </w:p>
    <w:p>
      <w:r>
        <w:t>GE Cour de justice, 2015-05-11, FR</w:t>
      </w:r>
    </w:p>
    <w:p>
      <w:r>
        <w:rPr>
          <w:b/>
        </w:rPr>
        <w:t xml:space="preserve">Quelle: </w:t>
      </w:r>
      <w:r>
        <w:t>https://mcp.opencaselaw.ch/entscheid/ge_gerichte_ATAS_357_2015</w:t>
      </w:r>
    </w:p>
    <w:p>
      <w:r>
        <w:t>FR: GE_GERICHTE ATAS/357/2015 du 11 mai 2015</w:t>
      </w:r>
    </w:p>
    <w:p>
      <w:r>
        <w:t>IT: GE_GERICHTE ATAS/357/2015 del 11 maggio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et 38 al. 1 LPGA).</w:t>
      </w:r>
    </w:p>
    <w:p>
      <w:r>
        <w:rPr>
          <w:b/>
        </w:rPr>
        <w:t>E. 4.2</w:t>
      </w:r>
    </w:p>
    <w:p>
      <w:r>
        <w: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5</w:t>
      </w:r>
    </w:p>
    <w:p>
      <w:r>
        <w:t>Le litige porte sur la question du degré d’invalidité à reconnaître à la recourante.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w:t>
      </w:r>
    </w:p>
    <w:p>
      <w:r>
        <w:t>A/1537/2014 - 13/23 -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w:t>
      </w:r>
    </w:p>
    <w:p>
      <w:r>
        <w:t>A/1537/2014 - 14/23 -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t>A/1537/2014 - 15/23 -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 Arrêt du Tribunal fédéral 9C_784/2013 du 5 mars 2014 consid. 3.2). b) Pour satisfaire à l'obligation de réduire le dommage (ATF 129 V 463 consid.</w:t>
      </w:r>
    </w:p>
    <w:p>
      <w:r>
        <w:rPr>
          <w:b/>
        </w:rPr>
        <w:t>E. 10</w:t>
      </w:r>
    </w:p>
    <w:p>
      <w:r>
        <w:t>En l’espèce, l’intimé considère que, sans atteinte à sa santé, la recourante aurait exercé son activité professionnelle à 70%, consacrant le reste de son temps - soit 30% - à la tenue de son ménage. Il se fonde pour cela sur le taux d’activité contractuel de la recourante avant l’atteinte à sa santé et sur ses déclarations lors de l’enquête ménagère. Compte tenu des éléments qui figurent au dossier, il est établi que la recourante a travaillé par choix à 70% en qualité de gestionnaire de clients et qu’elle aurait continué à ce taux si son état de santé le lui avait permis. Le statut mixte qui lui a été reconnu par l’intimé doit par conséquent être confirmé à raison de 70% pour l’activité professionnelle et de 30% pour la tenue du ménage. Au demeurant, ni ce</w:t>
      </w:r>
    </w:p>
    <w:p>
      <w:r>
        <w:t>A/1537/2014 - 16/23 - statut, ni les constatations et conclusions de l’enquête économique sur le ménage ne sont contestés. Reste à examiner l’éventuel droit aux prestations de la recourante à la lumière de son degré d’invalidité compte tenu des rapports médicaux figurant au dossier.</w:t>
      </w:r>
    </w:p>
    <w:p>
      <w:r>
        <w:rPr>
          <w:b/>
        </w:rPr>
        <w:t>E. 11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12</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w:t>
      </w:r>
    </w:p>
    <w:p>
      <w:r>
        <w:t>A/1537/2014 - 17/23 -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particulier, dans le cadre d'une révision de la rente selon l'art. 17 LPGA, la tâche du médecin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A/1537/2014 - 18/23 -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w:t>
      </w:r>
    </w:p>
    <w:p>
      <w:r>
        <w:t>A/1537/2014 - 19/23 -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15</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17</w:t>
      </w:r>
    </w:p>
    <w:p>
      <w:r>
        <w:t>juillet 2011, ce qui est confirmé unanimement par les rapports des neurologues C______ (rapport du 16 juin 2011) et E______ (rapports de 13 juillet 2011) et du médecin traitant, le Dr G______ (rapport du 26 avril 2011). Dès lors, c’est à bon droit que l’intimé a octroyé à la recourante un quart de rente d’invalidité durant cette période. c) En ce qui concerne la période du 1er octobre 2011 au 31 mai 2012, il ressort du dossier, en particulier des rapports du Dr G______ et du tableau de récapitulatif des capacités de travail, que l’état de la recourante s’est péjoré dès le 18 juillet 2011, entraînant une incapacité totale de travailler. Ainsi, conformément à l’art. 88a al. 1 RAI, l’intimé était légitimé à augmenter le droit à la rente de la recourante dès le mois d’octobre 2011, soit à l’issue d’un délai de 3 mois. De plus, la recourante ne conteste pas ces éléments, de sorte que la décision querellée doit également être confirmée sur ce point. d) Reste à déterminer la capacité de travail et le droit à la rente de la recourante pour la période débutant dès le 1er juin 2012, en particulier si sa capacité de travail s’est améliorée dans une mesure suffisante pour justifier une diminution du droit aux prestations. Comme indiqué précédemment, l’intimé considère que l’état de santé de la recourante s’est amélioré à compter du mois de février 2012, en se fondant sur les expertises des Drs F______ et J______. La chambre de céans considère que l’expertise du Dr F______ répond aux réquisits jurisprudentiels relatifs à la valeur probante. Elle se fonde en effet sur un examen clinique de la recourante et sur l'étude approfondie de son dossier médical, tient compte des plaintes exprimées par ses soins et contient une anamnèse complète, des diagnostics clairs et des conclusions motivées. L’appréciation du Dr F______ permet de comprendre les troubles dont souffrent la recourante et leurs conséquences sur sa capacité à exercer son activité habituelle. Il ressort de cette</w:t>
      </w:r>
    </w:p>
    <w:p>
      <w:r>
        <w:t>A/1537/2014 - 21/23 - expertise que l’état de santé de la recourante s’est amélioré sur le plan neurologique, de sorte qu’elle pouvait mettre en œuvre une capacité de travail résiduelle de 50% dans son activité habituelle à 70%, soit 35% au total, depuis le mois de février 2012. Le grief de la recourante à l’encontre de cette expertise ne saurait être retenu. En effet, contrairement à ce que soutient la recourante, l’appréciation du Dr F______ découle de ses constatations objectives lors de l’examen clinique et de son entretien avec l’intéressée, de sorte que les variations de la capacité de travail survenue au-delà du 12 juillet 2010 ne sont pas déterminantes. Cela est d’autant plus vrai qu’antérieurement à cette date, la recourante alternait déjà des périodes d’incapacité totale de travailler avec des périodes de capacité de travail de 50%, de sorte que le Dr F______ était au courant de la situation. Quant à l’expertise du Dr J______, elle répond également aux réquisits jurisprudentiels relatifs à la valeur probante, dans une même mesure que celle du Dr F______. L’appréciation du cas du Dr J______ permet de comprendre l’atteinte psychique affectant la recourante et son absence d’effet invalidant. Les critiques de la recourante à l’égard de cette expertise restent très générales et n’apportent aucun élément objectif permettant de la contester. En ce qui concerne les reproches formulés par la recourante à l’encontre de la personne du Dr J______, ils ne sont étayés par aucun élément figurant au dossier, de sorte qu’ils ne peuvent pas être pris en compte. Ces deux expertises ne peuvent pas non plus être remises en cause par les rapports du Dr G______. En effet, outre le fait que ce dernier soit le médecin traitant de la recourante et qu’il faille tenir compte de la relation de confiance qu’il entretient avec celle-ci, ses rapports et certificats médicaux ne sont pas motivés. Ainsi, ils ne constituent pas une base suffisante pour remettre en cause les expertises précitées. En outre, l’appréciation du cas du Dr G______, en particulier sur la capacité de travail de la recourante, est contredite par l’analyse du Dr E______, neurologue traitant de l’intéressée. Par conséquent, il apparaît que l’état de santé de la recourante s’est effectivement amélioré dès le mois de février 2012, entraînant une amélioration de la capacité de travail de 50%, alors que l’intéressée était en incapacité totale de travailler auparavant. Ainsi, conformément à l’art. 88a al. 1 RAI, l’intimé était légitimé à diminuer le droit à la rente de la recourante dès le mois de juin 2012, soit à l’issue d’un délai de 3 mois. Il convient également de relever que l’intimé ne s’est pas contenté de l’expertise du Dr F______ pour déterminer le droit aux prestations de la recourante, mais qu’il a également clarifié le cas sous l’angle psychiatrique au moyen de l’expertise du Dr J______. La décision querellée doit donc également être confirmée sur ce point.</w:t>
      </w:r>
    </w:p>
    <w:p>
      <w:r>
        <w:rPr>
          <w:b/>
        </w:rPr>
        <w:t>E. 18</w:t>
      </w:r>
    </w:p>
    <w:p>
      <w:r>
        <w:t>Compte tenu de ce qui précède, le recours, mal fondé, est rejeté.</w:t>
      </w:r>
    </w:p>
    <w:p>
      <w:r>
        <w:t>A/1537/2014 - 22/23 - La procédure en matière d’assurance-invalidité n'étant pas gratuite (art. 69 al. 1bis LAI), la recourante sera condamnée au paiement d’un émolument de CHF 200.-.</w:t>
      </w:r>
    </w:p>
    <w:p>
      <w:r>
        <w:t>A/1537/2014 - 23/23 -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