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ATAS/357/2013 vom 16. April 2013</w:t>
      </w:r>
    </w:p>
    <w:p>
      <w:r>
        <w:t>GE Cour de justice, 2013-04-16, FR</w:t>
      </w:r>
    </w:p>
    <w:p>
      <w:r>
        <w:rPr>
          <w:b/>
        </w:rPr>
        <w:t xml:space="preserve">Quelle: </w:t>
      </w:r>
      <w:r>
        <w:t>https://mcp.opencaselaw.ch/entscheid/ge_gerichte_ATAS_357_2013</w:t>
      </w:r>
    </w:p>
    <w:p>
      <w:r>
        <w:t>FR: GE_GERICHTE ATAS/357/2013 du 16 avril 2013</w:t>
      </w:r>
    </w:p>
    <w:p>
      <w:r>
        <w:t>IT: GE_GERICHTE ATAS/357/2013 del 16 aprile 2013</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w:t>
      </w:r>
    </w:p>
    <w:p>
      <w:r>
        <w:t>A/1590/2010 - 3/4 - assurances sociales, du 6 octobre 2000 (LPGA; RS 830.1) relatives à la loi fédérale sur l'assurance-accidents, du 20 mars 1981 (LAA ;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En l’espèce, les faits de la cause étant similaires et la question juridique identique, s’agissant de déterminer si les affections dont souffrent les employées concernées par les procédures relèvent d’une maladie professionnelle ou pas, il se justifie de suspendre la présente cause, jusqu’à droit jugé dans les procédures A/1418/2010 et A/1612/2010.</w:t>
      </w:r>
    </w:p>
    <w:p>
      <w:r>
        <w:t>A/1590/2010 - 4/4 -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