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ATAS/357/2010 vom 16. Juni 2009</w:t>
      </w:r>
    </w:p>
    <w:p>
      <w:r>
        <w:t>GE Cour de justice, 2009-06-16, FR</w:t>
      </w:r>
    </w:p>
    <w:p>
      <w:r>
        <w:rPr>
          <w:b/>
        </w:rPr>
        <w:t xml:space="preserve">Quelle: </w:t>
      </w:r>
      <w:r>
        <w:t>https://mcp.opencaselaw.ch/entscheid/ge_gerichte_ATAS_357_2010</w:t>
      </w:r>
    </w:p>
    <w:p>
      <w:r>
        <w:t>FR: GE_GERICHTE ATAS/357/2010 du 16 juin 2009</w:t>
      </w:r>
    </w:p>
    <w:p>
      <w:r>
        <w:t>IT: GE_GERICHTE ATAS/357/2010 del 16 giugno 2009</w:t>
      </w:r>
    </w:p>
    <w:p>
      <w:pPr>
        <w:pStyle w:val="Heading2"/>
      </w:pPr>
      <w:r>
        <w:t>Erwägungen</w:t>
      </w:r>
    </w:p>
    <w:p>
      <w:r>
        <w:rPr>
          <w:b/>
        </w:rPr>
        <w:t>E. 1</w:t>
      </w:r>
    </w:p>
    <w:p>
      <w:r>
        <w:t>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avoirs de prévoyance des demandeurs. Les dates pertinentes sont, d’une part, celle du mariage, le 11 juin 1999, d’autre part le 10 septembre 2009, date à laquelle le jugement de divorce est devenu exécutoire. Selon les documents produits, la prestation acquise pendant le mariage par M. Cédric B___________ est de 55'231 fr. 90 (soit 57'824 fr. 90 - 2'593 fr. auprès</w:t>
      </w:r>
    </w:p>
    <w:p>
      <w:r>
        <w:t>A/3498/2009 - 5/6 - de la CIA) tandis que celle acquise par Mme B___________ est de 54'562 fr. (auprès d'Helvetia Compagnie d'Assurances sur la Vie SA), les intérêts ayant déjà été calculés par les institutions de prévoyance défenderesses. Ainsi M. B___________ doit à son ex-épouse le montant de 27'615 fr. 95 (55'231 fr. 90 : 2) et celle-ci lui doit le montant de 27'281 fr. 30 (54'562 fr. 55 : 2), de sorte que c’est M. B___________ qui doit à Mme B___________ le montant de 334 fr. 70.</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w:t>
      </w:r>
    </w:p>
    <w:p>
      <w:r>
        <w:t>A/3498/2009 - 6/6 -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