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ATAS/357/2009 vom 24. März 2009</w:t>
      </w:r>
    </w:p>
    <w:p>
      <w:r>
        <w:t>GE Cour de justice, 2009-03-24, FR</w:t>
      </w:r>
    </w:p>
    <w:p>
      <w:r>
        <w:rPr>
          <w:b/>
        </w:rPr>
        <w:t xml:space="preserve">Quelle: </w:t>
      </w:r>
      <w:r>
        <w:t>https://mcp.opencaselaw.ch/entscheid/ge_gerichte_ATAS_357_2009</w:t>
      </w:r>
    </w:p>
    <w:p>
      <w:r>
        <w:t>FR: GE_GERICHTE ATAS/357/2009 du 24 mars 2009</w:t>
      </w:r>
    </w:p>
    <w:p>
      <w:r>
        <w:t>IT: GE_GERICHTE ATAS/357/2009 del 24 marzo 2009</w:t>
      </w:r>
    </w:p>
    <w:p>
      <w:pPr>
        <w:pStyle w:val="Heading2"/>
      </w:pPr>
      <w:r>
        <w:t>Erwägungen</w:t>
      </w:r>
    </w:p>
    <w:p>
      <w:r>
        <w:rPr>
          <w:b/>
        </w:rPr>
        <w:t>E. 2</w:t>
      </w:r>
    </w:p>
    <w:p>
      <w:r>
        <w:t>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w:t>
      </w:r>
    </w:p>
    <w:p>
      <w:r>
        <w:t>A/73/2009 - 4/5 - Qu’en l'espèce, le Tribunal de céans tient pour établi qu'en sa qualité d'employeur occupant des salariés, la société devait obligatoirement être affiliée à une institution de prévoyance professionnelle; Qu’il convient par ailleurs d'admettre que les décomptes sont exacts; qu'en effet, il ressort de l'ensemble des pièces produites par la fondation que, à la date du commandement de payer, la société est demeurée débitrice d'un montant de 21'279 fr. 35; Qu’en ce qui concerne les frais de poursuite, ils sont d'office supportés par le débiteur lorsque la poursuite aboutit (JdT 1974 III 32) et que les frais de gestion sont prévus par le règlement produit ; Que pour tous ces motifs, il y a lieu d'admettre la demande et de prononcer la mainlevée définitive de l'opposition au commandement de payer ;</w:t>
      </w:r>
    </w:p>
    <w:p>
      <w:r>
        <w:t>A/73/2009 - 5/5 -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