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ATAS/356/2026 vom 28. April 2026</w:t>
      </w:r>
    </w:p>
    <w:p>
      <w:r>
        <w:t>GE Cour de justice, 2026-04-28, FR</w:t>
      </w:r>
    </w:p>
    <w:p>
      <w:r>
        <w:rPr>
          <w:b/>
        </w:rPr>
        <w:t xml:space="preserve">Quelle: </w:t>
      </w:r>
      <w:r>
        <w:t>https://mcp.opencaselaw.ch/entscheid/ge_gerichte_ATAS_356_2026</w:t>
      </w:r>
    </w:p>
    <w:p>
      <w:r>
        <w:t>FR: GE_GERICHTE ATAS/356/2026 du 28 avril 2026</w:t>
      </w:r>
    </w:p>
    <w:p>
      <w:r>
        <w:t>IT: GE_GERICHTE ATAS/356/2026 del 28 aprile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et le délai prévus par la loi, le recours est prima facie recevable (art. 56 et 60 de la LPGA ; art. 89B de la loi sur la procédure administrative du 12 septembre 1985 [(LPA - E 5 10)].</w:t>
      </w:r>
    </w:p>
    <w:p>
      <w:r>
        <w:rPr>
          <w:b/>
        </w:rPr>
        <w:t>E. 1.3</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w:t>
      </w:r>
    </w:p>
    <w:p>
      <w:r>
        <w:t>A/1072/2026 - 4/7 -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2e phrase LPGA). 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1.4</w:t>
      </w:r>
    </w:p>
    <w:p>
      <w:r>
        <w:t>L’autorité peut d’office ou sur requête ordonner des mesures provisionnelles, lesquelles sont ordonnées par le président, s’agissant d’une autorité collégiale, selon l’art. 21 de la loi sur la procédure administrative (LPA – E 5 10) Les mesures provisionnelles ne sont légitimes que si elles s’avèrent nécessaires au maintien de l’état de fait ou à la sauvegarde des intérêts compromis (ATF 119 V 506 consid. 3). Elles ne sauraient, en principe tout au moins, anticiper le jugement définitif (Isabelle HÄNER, Vorsorgliche Massnahmen in Verwaltungsverfahren und Verwaltungsprozess, in RDS 1997 II 253-420, 265) ; par ailleurs, l’octroi de mesures provisionnelles présuppose l’urgence, à savoir que le refus de les ordonner crée pour l’intéressé la menace d’un dommage difficile à réparer (ATF 130 II 149 consid. 2.2 ; 127 II 132 consid. 3 = RDAF 2002 I 405) ; constitue notamment un tel préjudice un dommage de nature juridique qui ne peut pas être réparé ultérieurement par un jugement final ou une autre décision favorable au recourant (ATF 133 IV 139 consid. 4 ; 133 IV 288 consid. 3.) ; en revanche, un dommage de pur fait, comme la prolongation de la procédure ou un accroissement des frais de celle-ci, n'est pas considéré comme irréparable (ATF 137 V 314 consid. 2.2.1 ; 134 I 83 consid. 3.1).</w:t>
      </w:r>
    </w:p>
    <w:p>
      <w:r>
        <w:rPr>
          <w:b/>
        </w:rPr>
        <w:t>E. 2.1.1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w:t>
      </w:r>
    </w:p>
    <w:p>
      <w:r>
        <w:t>A/1072/2026 - 5/7 -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2.1.2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rPr>
          <w:b/>
        </w:rPr>
        <w:t>E. 2.1.3</w:t>
      </w:r>
    </w:p>
    <w:p>
      <w:r>
        <w:t>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w:t>
      </w:r>
    </w:p>
    <w:p>
      <w:r>
        <w:rPr>
          <w:b/>
        </w:rPr>
        <w:t>E. 2.2</w:t>
      </w:r>
    </w:p>
    <w:p>
      <w:r>
        <w:t>Les explications d'un assuré sur le déroulement d'un fait allégué sont au bénéfice d'une présomption de vraisemblance. Il peut néanmoins arriver que les</w:t>
      </w:r>
    </w:p>
    <w:p>
      <w:r>
        <w:t>A/1072/2026 - 6/7 -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w:t>
      </w:r>
    </w:p>
    <w:p>
      <w:r>
        <w:rPr>
          <w:b/>
        </w:rPr>
        <w:t>E. 3</w:t>
      </w:r>
    </w:p>
    <w:p>
      <w:r>
        <w:t>En l’espèce, en refusant toute prestation au recourant, au motif qu’un accident n’était pas réalisé, l’intimée a rendu une décision négative. Or, les effets d’une telle décision ne sont pas susceptibles d’être suspendus pendant une procédure de recours. Si le recourant avait voulu obtenir le versement de prestations durant la procédure de recours, il aurait dû présenter une demande de mesures provisionnelles. Quand bien même il l’aurait fait, l'octroi des mesures provisionnelles requises reviendrait à lui accorder ce qu'il réclame au fond, anticipant ainsi le jugement qui va suivre. Une telle situation n’est en outre pas admissible car l’intérêt privé du recourant doit en effet céder le pas sur celui de l'administration à ne pas verser des prestations, les chances de succès du recours ne paraissant pas, à première vue, à un tel point évidentes, au vu des déclarations de la première heure du recourant (des 13 juin et 17 juillet 2025) et de la jurisprudence précitée sur le facteur extérieur extraordinaire, qu'il conviendrait de lui octroyer des mesures provisionnelles. Enfin, le recourant ne fait pas valoir une situation d’urgence, soit la menace d’un dommage difficile à réparer. Il s’ensuit que la demande de restitution de l’effet suspensif, comprise comme une demande de mesures provisionnelles, sera rejetée.</w:t>
      </w:r>
    </w:p>
    <w:p>
      <w:r>
        <w:t>A/1072/2026 - 7/7 -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