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ATAS/356/2021 vom 21. April 2021</w:t>
      </w:r>
    </w:p>
    <w:p>
      <w:r>
        <w:t>GE Cour de justice, 2021-04-21, FR</w:t>
      </w:r>
    </w:p>
    <w:p>
      <w:r>
        <w:rPr>
          <w:b/>
        </w:rPr>
        <w:t xml:space="preserve">Quelle: </w:t>
      </w:r>
      <w:r>
        <w:t>https://mcp.opencaselaw.ch/entscheid/ge_gerichte_ATAS_356_2021</w:t>
      </w:r>
    </w:p>
    <w:p>
      <w:r>
        <w:t>FR: GE_GERICHTE ATAS/356/2021 du 21 avril 2021</w:t>
      </w:r>
    </w:p>
    <w:p>
      <w:r>
        <w:t>IT: GE_GERICHTE ATAS/356/2021 del 21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présent recours était, au 1er janvier 2021, pendant devant la chambre de céans, il reste soumis à l'ancien droit (cf. art. 83 LPGA).</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A/2980/2020 - 11/21 -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En vertu des art. 28 al. 1 et 29 al. 1,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t>A/2980/2020 - 12/21 - 15 consid. 3.1; ATF 137 V 334 consid. 3.2; ATF 125 V 146 consid. 2c ainsi que les références).</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A/2980/2020 - 13/21 -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13</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w:t>
      </w:r>
    </w:p>
    <w:p>
      <w:r>
        <w:t>A/2980/2020 - 14/21 -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14</w:t>
      </w:r>
    </w:p>
    <w:p>
      <w:r>
        <w:t>a. Pour part de l’activité consacrée aux travaux habituels,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w:t>
      </w:r>
    </w:p>
    <w:p>
      <w:r>
        <w:t>A/2980/2020 - 15/21 -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w:t>
      </w:r>
    </w:p>
    <w:p>
      <w:r>
        <w:rPr>
          <w:b/>
        </w:rPr>
        <w:t>E. 15</w:t>
      </w:r>
    </w:p>
    <w:p>
      <w:r>
        <w:t>novembre 2019, le revenu pris en compte pour l'évaluation de l'invalidité sur la base de l'art. 26, al. 1, RAI reste inchangé. Cette valeur continue de s'établir à CHF 83'500.- par an jusqu'à nouvel ordre. Les montants partiels, échelonnés par tranche d'âge, restent dès lors les suivants : CHF 83'500.- à 100% après 21 ans et avant 30 ans, CHF 75'150.- à 90%, CHF 66'800.- à 80% et CHF 58'450.- à 70%.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w:t>
      </w:r>
    </w:p>
    <w:p>
      <w:r>
        <w:t>A/2980/2020 - 18/21 -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16</w:t>
      </w:r>
    </w:p>
    <w:p>
      <w:r>
        <w:t>La recourante a contesté le statut de personne non active, faisant valoir que si elle était à la maison à s’occuper de ses travaux habituels avec toutes les difficultés qu’elle avait, ce n’était pas par choix, mais en raison de sa pathologie qui ne lui avait pas permis, et ne lui permettait pas, d’apprendre un métier, de pouvoir être une personne active, ni de participer financièrement à la tenue de son ménage. Il ressort du rapport d’enquête du 9 juin 2020 qu’elle a indiqué à l’enquêtrice qu’aussi loin qu’elle s’en souvienne, elle avait toujours fait des crises d’angoisse et que, déjà dans son enfance, elle s’évanouissait régulièrement. Elle a également indiqué à l’enquêtrice qu’elle aurait aimé être assistante vétérinaire ou travailler dans une pharmacie, mais qu’elle n’avait pas pu obtenir une place d’apprentissage. Malgré ses efforts et en raison de ses problèmes de santé mentale, elle n’avait pas trouvé la confiance en elle pour accéder à son autonomie financière. Sa seule échappatoire d’un milieu toxique avait été le mariage. Enfin, la recourante a déclaré à la chambre de céans qu’elle avait été prise en charge petite par l'assurance- invalidité, car elle avait été en école spécialisée dès l'âge de 6 ou 7 ans. Lors de son audition par la chambre de céans, la recourante a confirmé que sa problématique de santé l'empêchait d'avoir un travail et qu’elle n’avait pas fini sa scolarité obligatoire. Ce n’était qu’après avoir entrepris une psychothérapie, qu'on lui avait diagnostiqué un TDAH et un trouble anxieux majeur. Dans ses rêves, elle</w:t>
      </w:r>
    </w:p>
    <w:p>
      <w:r>
        <w:t>A/2980/2020 - 19/21 - souhaitait pouvoir travailler, mais elle avait pensé n'avoir pas vraiment le choix et s’était contentée de rester à la maison, vu ses problèmes de santé. L’époux de la recourante a déclaré que celle-ci aimerait faire quelque chose de sa vie et qu'elle ne le pouvait pas en raison à son problème. Pour le moment, il paraissait impossible de définir un projet plus précis. Il a précisé qu’elle avait entamé une formation dans l’onglerie, à la maison et avec l'aide de sa tante, et qu’elle a appris à faire les ongles, mais qu’elle n'avait pas réussi à recevoir des clients, à cause de ses angoisses. Il apparaît ainsi très vraisemblable que la recourante souffre de graves problèmes psychiques depuis l’enfance, qui ne lui ont pas permis de suivre une formation, ni de travailler, raison pour laquelle elle y a renoncé et qu’elle a fait « le choix » de rester au foyer. Si, comme l’a indiqué l’intimé dans sa réponse du 21 octobre 2020, la situation socio-familiale de la recourante a probablement eu une part de responsabilité dans ce choix, vu l’absence de soutien de ses parents, il apparaît qu’il est également et principalement dû à ses problèmes de santé. Le fait que la recourante ait dit dans un premier temps à l’enquêtrice qu’elle était mère au foyer par choix personnel doit être interprété à la lumière de l’ensemble de ses déclarations du même jour à l’enquêtrice, dont il ressort qu’il ne s’agissait pas d’un choix entièrement libre. Il est ainsi établi, au degré de la vraisemblance prépondérante, que si la recourante n’avait pas de problèmes de santé, elle travaillerait, à tout le moins à temps partiel, de sorte qu’il convient de retenir qu’elle a un statut mixte. Il se justifie de retenir que sans invalidité, elle partagerait à parts égales une activité professionnelle et ses travaux habituels, dès lors qu’au jour de la décision querellée, le 25 août 2020, ses enfants étaient âgés de 6 et 9 ans. La décision querellée sera en conséquence annulée et la cause renvoyée à l’intimé afin qu’il prenne une nouvelle décision tenant compte d’un statut mixte (50/50) de la recourante, après avoir procédé, s’il l’estime nécessaire, à un complément d’instruction sur sa capacité de travail, étant relevé que le Dr C______, psychiatre traitant de la recourante retenait, le 16 décembre 2019, que celle-ci était totalement incapable de travailler même dans une activité adaptée.</w:t>
      </w:r>
    </w:p>
    <w:p>
      <w:r>
        <w:rPr>
          <w:b/>
        </w:rPr>
        <w:t>E. 17</w:t>
      </w:r>
    </w:p>
    <w:p>
      <w:r>
        <w:t>S’agissant de l’enquête sur les travaux ménagers, elle n’appelle pas la critique et doit être reconnue comme probante. En effet, la recourante a admis lors de l’audience devant la chambre de céans que le rapport de l’enquêtrice correspondait globalement à ce qu’elle lui avait dit. Son époux a, quant à lui, reconnu que malgré les difficultés de son épouse, il n’avait pas l'impression de vivre dans le chaos et que, globalement et avec de l’aide, elle arrivait à tenir son ménage et à s’occuper de leurs enfants, ce qui confirme les conclusions de l’enquêtrice. Si l’intimé estime nécessaire de procéder à un nouvel examen psychiatrique de la recourante pour évaluer sa capacité de travail, il se justifiera de demander au médecin désigné pour ce faire de se prononcer sur les empêchements dans les</w:t>
      </w:r>
    </w:p>
    <w:p>
      <w:r>
        <w:t>A/2980/2020 - 20/21 - travaux manuels de la recourante, étant rappelé que pour les atteintes psychiques, les constatations d'ordre médical relatives à la capacité d'accomplir les travaux habituels ont, en règle générale, plus de poids que l'enquête à domicile.</w:t>
      </w:r>
    </w:p>
    <w:p>
      <w:r>
        <w:rPr>
          <w:b/>
        </w:rPr>
        <w:t>E. 18</w:t>
      </w:r>
    </w:p>
    <w:p>
      <w:r>
        <w:t>Au vu de ce qui précède, le recours sera partiellement admis, la décision du 25 août 2020 annulée et la cause renvoyée à l’intimé pour complément d’instruction éventuel et nouvelle décision.</w:t>
      </w:r>
    </w:p>
    <w:p>
      <w:r>
        <w:rPr>
          <w:b/>
        </w:rPr>
        <w:t>E. 19</w:t>
      </w:r>
    </w:p>
    <w:p>
      <w:r>
        <w:t>Il ne sera pas alloué de dépens à la recourante qui a agi sans l'assistance d'un avocat et n’en a pas demandé (art. 61 let. g LPGA).</w:t>
      </w:r>
    </w:p>
    <w:p>
      <w:r>
        <w:rPr>
          <w:b/>
        </w:rPr>
        <w:t>E. 20</w:t>
      </w:r>
    </w:p>
    <w:p>
      <w:r>
        <w:t>Au vu du sort du recours, il y a lieu de condamner l'intimé au paiement d'un émolument de CHF 200.- (art. 69 al. 1bis LAI).</w:t>
      </w:r>
    </w:p>
    <w:p>
      <w:r>
        <w:t>A/2980/2020 - 21/21 -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