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ATAS/355/2024 vom 15. Mai 2024</w:t>
      </w:r>
    </w:p>
    <w:p>
      <w:r>
        <w:t>GE Cour de justice, 2024-05-15, FR</w:t>
      </w:r>
    </w:p>
    <w:p>
      <w:r>
        <w:rPr>
          <w:b/>
        </w:rPr>
        <w:t xml:space="preserve">Quelle: </w:t>
      </w:r>
      <w:r>
        <w:t>https://mcp.opencaselaw.ch/entscheid/ge_gerichte_ATAS_355_2024</w:t>
      </w:r>
    </w:p>
    <w:p>
      <w:r>
        <w:t>FR: GE_GERICHTE ATAS/355/2024 du 15 mai 2024</w:t>
      </w:r>
    </w:p>
    <w:p>
      <w:r>
        <w:t>IT: GE_GERICHTE ATAS/355/2024 del 15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A/4108/2020 - 7/11 -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aux prestations de l’intimée au-delà du 17 février 2020.</w:t>
      </w:r>
    </w:p>
    <w:p>
      <w:r>
        <w:rPr>
          <w:b/>
        </w:rPr>
        <w:t>E. 4.1.1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4.1.2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w:t>
      </w:r>
    </w:p>
    <w:p>
      <w:r>
        <w:t>A/4108/2020 - 8/11 -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4.1.3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4.1.4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 b; arrêt du Tribunal fédéral des assurances U 351/04 du 14 février 2006 consid. 3.2).</w:t>
      </w:r>
    </w:p>
    <w:p>
      <w:r>
        <w:rPr>
          <w:b/>
        </w:rPr>
        <w:t>E. 4.2</w:t>
      </w:r>
    </w:p>
    <w:p>
      <w:r>
        <w:t>Le juge ne s'écarte pas sans motifs impératifs des conclusions d'une expertise médicale judiciaire, la tâche de l'expert étant précisément de mettre ses</w:t>
      </w:r>
    </w:p>
    <w:p>
      <w:r>
        <w:t>A/4108/2020 - 9/11 -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l’espèce, la chambre de céans relève le fait que l’arthrose acromio-claviculaire était préexistante à l’accident du 16 mai 2019 ne remet pas en cause les conclusions de l’expert, celui-ci ne le contestant pas, retenant seulement que cette atteinte avait certainement été aggravée par la chute du recourant. Contrairement à ce qu’allègue l’intimée, le Dr D______ a mentionné cette atteinte comme motif de son intervention du 18 février 2020, puisqu’il a indiqué le 30 janvier 2020 qu’elle avait été proposée au recourant, notamment en raison de douleurs à la palpation de l’acromio-claviculaire. L’expert a expliqué que l’intervention avait traité les lésions en présence et, notamment, l’arthrose acromio-claviculaire, par excision du centimètre externe de la clavicule. En conséquence, l’intervention avait au moins partiellement pour but de traiter une atteinte à la santé, qui était en lien de causalité avec l’événement assuré par l’intimée. Cela suffit, en vertu de l'art. 36 al. 1 LAA, pour justifier sa prise en charge par l’intimée, les frais médicaux n’étant pas réduits lorsque l'atteinte à la santé n'est que partiellement imputable à l'accident. Aussi longtemps que le statu quo sine vel ante n'est pas rétabli, l'assureur-accidents doit prendre à sa charge le traitement de l'état maladif préexistant, dans la mesure où il s'est manifesté à l'occasion de l'accident ou a été aggravé par ce dernier. Le Dr D______ a constaté l’arthrose acromio-claviculaire à l’arthroscopie et l’a traitée par excision du centimètre externe de la clavicule, selon la technique habituelle. L’expert a pris en compte le fait que les examens cliniques n’étaient pas tous concordants s’agissant de cette atteinte. Cela étant, il a indiqué que de</w:t>
      </w:r>
    </w:p>
    <w:p>
      <w:r>
        <w:t>A/4108/2020 - 10/11 - façon générale, l’arthrose acromio-claviculaire se trouvait chez bon nombre de patients et qu’elle était le plus souvent asymptomatique et souvent surtraitée lors de geste arthroscopique sur la coiffe des rotateurs. Dans le cas d’espèce, la nature du traumatisme, soit un choc direct sur le moignon de l’épaule gauche, avait aggravé une arthrose préexistante et justifié le geste d’excision de la clavicule distale pratiquée. L’expert a fixé le statu quo sine au 17 février 2021 et l’intimée ne remet pas sérieusement en cause cette conclusion par son argumentation.</w:t>
      </w:r>
    </w:p>
    <w:p>
      <w:r>
        <w:rPr>
          <w:b/>
        </w:rPr>
        <w:t>E. 5.1</w:t>
      </w:r>
    </w:p>
    <w:p>
      <w:r>
        <w:t>En conclusion, l’expertise judiciaire doit se voir reconnaître une pleine valeur probante et, sur cette base, il convient de retenir que l’intimée doit prendre en charge les suites de l’accident en cause jusqu’au 17 février 2021.</w:t>
      </w:r>
    </w:p>
    <w:p>
      <w:r>
        <w:rPr>
          <w:b/>
        </w:rPr>
        <w:t>E. 6.1</w:t>
      </w:r>
    </w:p>
    <w:p>
      <w:r>
        <w:t>Le recours est ainsi bien fondé et la décision sur opposition du 4 novembre 2020 sera réformée, dans le sens que le recourant a droit aux prestations de l’intimée pour les suites de son accident du 16 mai 2019 jusqu’au 17 février 2021.</w:t>
      </w:r>
    </w:p>
    <w:p>
      <w:r>
        <w:rPr>
          <w:b/>
        </w:rPr>
        <w:t>E. 6.2</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l’espèce, les frais de l’expertise judiciaire seront mis à la charge de l’intimée, car elle s’est fondée sur une instruction manifestement insuffisante.</w:t>
      </w:r>
    </w:p>
    <w:p>
      <w:r>
        <w:rPr>
          <w:b/>
        </w:rPr>
        <w:t>E. 6.3</w:t>
      </w:r>
    </w:p>
    <w:p>
      <w:r>
        <w:t>Le recourant obtenant gain de cause, une indemnité de CHF 2'500.- lui sera accordée à titre de participation à ses frais et dépens (art. 61 let. g LPGA ; art. 6 du règlement sur les frais, émoluments et indemnités en matière administrative du 30 juillet 1986 [RFPA - E 5 10.03]).</w:t>
      </w:r>
    </w:p>
    <w:p>
      <w:r>
        <w:rPr>
          <w:b/>
        </w:rPr>
        <w:t>E. 6.4</w:t>
      </w:r>
    </w:p>
    <w:p>
      <w:r>
        <w:t>Pour le surplus, la procédure est gratuite (art. 61 let. a LPGA).</w:t>
      </w:r>
    </w:p>
    <w:p>
      <w:r>
        <w:t>A/4108/2020 - 11/11 -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