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ATAS/354/2016 vom 3. Mai 2016</w:t>
      </w:r>
    </w:p>
    <w:p>
      <w:r>
        <w:t>GE Cour de justice, 2016-05-03, FR</w:t>
      </w:r>
    </w:p>
    <w:p>
      <w:r>
        <w:rPr>
          <w:b/>
        </w:rPr>
        <w:t xml:space="preserve">Quelle: </w:t>
      </w:r>
      <w:r>
        <w:t>https://mcp.opencaselaw.ch/entscheid/ge_gerichte_ATAS_354_2016</w:t>
      </w:r>
    </w:p>
    <w:p>
      <w:r>
        <w:t>FR: GE_GERICHTE ATAS/354/2016 du 3 mai 2016</w:t>
      </w:r>
    </w:p>
    <w:p>
      <w:r>
        <w:t>IT: GE_GERICHTE ATAS/354/2016 del 3 maggio 2016</w:t>
      </w:r>
    </w:p>
    <w:p>
      <w:pPr>
        <w:pStyle w:val="Heading2"/>
      </w:pPr>
      <w:r>
        <w:t>Erwägungen</w:t>
      </w:r>
    </w:p>
    <w:p>
      <w:r>
        <w:rPr>
          <w:b/>
        </w:rPr>
        <w:t>E. 11</w:t>
      </w:r>
    </w:p>
    <w:p>
      <w:r>
        <w:t>septembre 2002 (OPGA), l'opposition a un effet suspensif, sauf si un recours contre la décision prise sur opposition n'a pas d'effet suspensif de par la loi (a), si l'assureur a retiré l'effet suspensif dans sa décision (b) ou si la décision a une conséquence juridique qui n'est pas sujette à suspension (c) ; Qu’il convient de relever que selon l'art. 30 al. 3 quatrième phrase LACI, la suspension du droit à l'indemnité est caduque six mois après le début du délai de suspension, c'est- à-dire six mois après l'acte ou la négligence qui fait l'objet de la suspension (art. 45 al. 1 let. c OACI, sous réserve toutefois de l'art. 45 al. 1 let. a OACI ; cf. ATF 114 V 353 consid. c et d) ; que lorsque l'assuré est devenu chômeur par sa propre faute, la suspension dans l'exercice du droit à l'indemnité prend effet à partir du premier jour qui suit la cessation du rapport de travail (cf. art. 45 al. 1 let. a OACI) ; que selon une</w:t>
      </w:r>
    </w:p>
    <w:p>
      <w:r>
        <w:t>A/686/2016 - 5/6 - jurisprudence constante, l'art. 30 al. 3 quatrième phrase LACI fixe un délai d'exécution de la sanction ; qu’après l'écoulement du délai, le droit d'exiger l'exécution d'une mesure de suspension est périmé, de sorte que celle-ci devient caduque (ATF 114 V 352 consid. 2b, 113 V 73 consid. 4b; cf. également ATF 124 V 88 consid. 5b) ; que la péremption du droit d'exiger l'exécution n'est pas sans effet sur la possibilité, pour les organes de l'assurance-chômage, de suspendre après coup le droit à l'indemnité ; qu’en effet, si les indemnités litigieuses ont été payées à l'assuré, il n'y a plus lieu de prendre une mesure de suspension après l'échéance du délai d'exécution, la restitution des prestations indûment versées (art. 95 LACI) ne pouvant de toute façon plus être exigée en vue de faire exécuter la sanction ; qu’en revanche, si l'assuré n'a pas encore perçu les indemnités litigieuses, rien ne s'oppose au prononcé d'une mesure de suspension après l'échéance du délai de l'art. 30 al. 3 quatrième phrase LACI ; que tel sera par exemple le cas lorsque l'aptitude au placement a été longtemps niée, avant d'être finalement admise (ATF 114 V 352 sv. consid. 2b) ; qu’ainsi, l'art. 30 al. 3 quatrième phrase LACI exclut l'octroi de l'effet suspensif du recours contre les décisions de suspension, au motif que si l'effet suspensif était accordé suite à un recours contre une telle décision, cela porterait un préjudice irréparable à l'assurance-chômage, les jours de suspension ne pouvant guère être amortis en raison de la durée de la procédure (DTA 2/1998 n° 26 p. 138 ss; ATF 124 V 82 ; ATAS/970/2006) ; Qu’au vu de ce qui précède, la décision du 11 février 2016 ne peut être que confirmée et le recours rejeté.</w:t>
      </w:r>
    </w:p>
    <w:p>
      <w:r>
        <w:t>A/686/2016 - 6/6 -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