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ATAS/353/2025 vom 15. Mai 2025</w:t>
      </w:r>
    </w:p>
    <w:p>
      <w:r>
        <w:t>GE Cour de justice, 2025-05-15, FR</w:t>
      </w:r>
    </w:p>
    <w:p>
      <w:r>
        <w:rPr>
          <w:b/>
        </w:rPr>
        <w:t xml:space="preserve">Quelle: </w:t>
      </w:r>
      <w:r>
        <w:t>https://mcp.opencaselaw.ch/entscheid/ge_gerichte_ATAS_353_2025</w:t>
      </w:r>
    </w:p>
    <w:p>
      <w:r>
        <w:t>FR: GE_GERICHTE ATAS/353/2025 du 15 mai 2025</w:t>
      </w:r>
    </w:p>
    <w:p>
      <w:r>
        <w:t>IT: GE_GERICHTE ATAS/353/2025 del 15 maggio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A/3942/2024 - 6/16 -</w:t>
      </w:r>
    </w:p>
    <w:p>
      <w:r>
        <w:rPr>
          <w:b/>
        </w:rPr>
        <w:t>E. 2</w:t>
      </w:r>
    </w:p>
    <w:p>
      <w:r>
        <w:t>Le litige porte sur le refus par l’OAI de toute prestation invalidité.</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datée du 4 janvier 2023, a certes été rendue postérieurement au 1er janvier 2022. Toutefois, la demande de prestations ayant été déposée en mai 2021 et le délai d’attente d’une année venant à échéance à une date inconnue mais vraisemblablement antérieure au dépôt de la demande, un éventuel droit à une rente d’invalidité naîtrait avant le 1er janvier 2022 (cf. art. 28 al. 1 let. b et 29 al. 1 LAI), de sorte que les dispositions applicables seront citées dans leur teneur en vigueur jusqu’au 31 décembre 2021.</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Le litige porte sur le bien-fondé de la décision de l’OAI du 28 octobre 2024 de rejeter la demande de prestations du recourant, au motif qu’il ne remplissait pas les conditions d'assurance.</w:t>
      </w:r>
    </w:p>
    <w:p>
      <w:r>
        <w:rPr>
          <w:b/>
        </w:rPr>
        <w:t>E. 5.1</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w:t>
      </w:r>
    </w:p>
    <w:p>
      <w:r>
        <w:t>A/3942/2024 - 7/16 - sa capacité de gain. En d'autres termes, ce n'est qu'à partir du moment où l'effort n'est plus réalisable, faute d'être exigible, que la question de l'incapacité de gain se pose (Susana MESTRE CARVALHO, Éxigibilité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5.2</w:t>
      </w:r>
    </w:p>
    <w:p>
      <w:r>
        <w:t>Les atteintes à la santé mentale ou psychique peuvent, comme les atteintes physiques, entraîner une invalidité au sens de l'art. 4 al. 1 LAI en liaison avec l'art. 8 LPGA. Par atteinte à la santé mentale ou psychique au sens juridique de l'expression, il faut entendre toute perturbation des facultés intellectuelles et affectives qui entravent d'une manière permanente ou pour assez longtemps la capacité de gain ou de travail de l'assuré (Michel VALTERIO, Commentaire de la loi fédérale sur l'assurance-invalidité [LAI], 2018, n. 8 ad Art, 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w:t>
      </w:r>
    </w:p>
    <w:p>
      <w:r>
        <w:rPr>
          <w:b/>
        </w:rPr>
        <w:t>E. 6.1</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 étant précisé que jusqu’au 31 décembre 2007, seule une année de cotisations était nécessaire. La condition de la durée minimale de cotisations doit être remplie au moment de la survenance de l'invalidité. Les périodes accomplies après ce terme n'entrent pas en ligne de compte (RCC 1959, p. 449 ; voir également ch. 4205 de la directive sur les rentes [ci-après : DR]). S’agissant de la durée minimale de cotisations lors de la survenance de l’invalidité, il y a lieu d’appliquer celle de trois ans pour toutes les nouvelles rentes d’invalidité pour lesquelles la survenance de l’invalidité est intervenue à compter du 1er janvier 2008, et celle d’un an pour les nouvelles rentes d’invalidité</w:t>
      </w:r>
    </w:p>
    <w:p>
      <w:r>
        <w:t>A/3942/2024 - 8/16 - déduites d’une survenance d’invalidité antérieure à cette date-ci (ATAS/786/2016 du 4 octobre 2016 consid. 2c ; ATAS/311/2013 du 26 mars 2013 consid. 6 ; ch. 3003 de la circulaire sur la procédure pour la fixation des prestations dans l’AVS/AI/PC [ci-après : CIBIL] ; Michel VALTERIO, op. cit., n. 1231).</w:t>
      </w:r>
    </w:p>
    <w:p>
      <w:r>
        <w:rPr>
          <w:b/>
        </w:rPr>
        <w:t>E. 6.2</w:t>
      </w:r>
    </w:p>
    <w:p>
      <w:r>
        <w:t>L'art. 36 al. 2 LAI prévoit que la loi fédérale sur l'assurance vieillesse et survivants du 20 décembre 1946 (LAVS - RS 831.10) est applicable par analogie au calcul des rentes ordinaires. Aux termes de l'art. 50 du règlement sur l’assurance-vieillesse et survivants du 31 octobre 1947 (RAVS - RS 831.101), applicable à la fixation de la durée minimale de cotisations selon les art. 36 al. 2 LAI et 32 al. 1 RAI (ATF 125 V 255), une année de cotisations est entière lorsqu'une personne a été assurée au sens des art. 1a ou 2 LAVS (assurance facultative) pendant plus de onze mois au total et que, pendant ce temps-là, soit elle a versé la cotisation minimale, soit son conjoint au sens de l’art. 3 al. 3 LAVS a versé au moins le double de la cotisation minimale (art. 29ter al. 2 let. b LAVS), soit elle peut se prévaloir de bonifications pour tâches éducatives ou pour tâches d'assistance (art. 29ter al. 2 let. c LAVS).</w:t>
      </w:r>
    </w:p>
    <w:p>
      <w:r>
        <w:rPr>
          <w:b/>
        </w:rPr>
        <w:t>E. 6.3</w:t>
      </w:r>
    </w:p>
    <w:p>
      <w:r>
        <w:t>Pour les ressortissants suisses et ceux des États de l’UE et de l’AELE (Islande, Liechtenstein, Norvège), l’examen de la durée minimale de cotisations peut impliquer la prise en compte des périodes de cotisations accomplies dans l’un ou plusieurs de ces États. Ainsi, pour l’examen – dans un cas particulier – de la durée minimale de cotisations, la procédure à suivre est la suivante (ch. 3004 DR, état au 1er janvier 2023 ; ch. 3005 CIBIL, Accords bilatéraux Suisse-UE Convention AELE, état au 1er janvier 2022) : 1. Il faut vérifier si la durée minimale de cotisations de trois années est remplie au moyen des périodes d’assurance suisses. La durée de trois années entières est remplie si une personne a été assurée obligatoirement ou facultativement pendant plus de deux années et onze mois au total. 2. Si la durée minimale de cotisations de trois années n’est pas remplie par le truchement de périodes d’assurance suisses, il importe, pour les citoyens suisses ou les ressortissants d’un État de l’UE ou de l’AELE, de tenir compte des périodes de cotisations accomplies au sein d’un État de l’UE ou de l’AELE. 3. Si la durée minimale de cotisations de trois années est remplie grâce à la prise en compte de périodes d’assurance accomplies dans un État de l’UE ou de l’AELE, mais que la durée de cotisations en Suisse est inférieure à une année, aucune rente ordinaire suisse de l’AI ne peut être versé.</w:t>
      </w:r>
    </w:p>
    <w:p>
      <w:r>
        <w:t>A/3942/2024 - 9/16 - Une demande de rente de l’AVS ou de l’AI déposée en Suisse alors que la personne ne compte pas au moins une année entière de cotisations au sens de l’art. 29, al. 1, LAVS est rejetée par une décision correspondante, avec mise en œuvre de la procédure interétatique (ch. 4011 CIBIL).</w:t>
      </w:r>
    </w:p>
    <w:p>
      <w:r>
        <w:rPr>
          <w:b/>
        </w:rPr>
        <w:t>E. 6.4</w:t>
      </w:r>
    </w:p>
    <w:p>
      <w:r>
        <w:t>L’invalidité est réputée survenue dès qu’elle est, par sa nature et sa gravité, propre à ouvrir droit aux prestations entrant en considération (art. 4 al. 2 LAI).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 S’agissant du droit à une rente,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18e anniversaire (circulaire sur l’invalidité et l’impotence dans l’assurance-invalidité établie par l’Office fédéral des assurances sociales, dans son état au 1er janvier 2021 [ci-après : CIIAI], ch. 1030 et les références). La survenance du cas d’assurance correspond, en règle générale, à l’ouverture du droit à la rente. L’ouverture du droit à une rente peut cependant déroger à cette règle, par ex. lors d’une demande tardive (CIIAI, ch. 1034). La CIIAI a été abrogée et remplacée, dès le 1er janvier 2022, par la circulaire sur l’invalidité et les rentes dans l’assurance-invalidité (CIRAI).</w:t>
      </w:r>
    </w:p>
    <w:p>
      <w:r>
        <w:rPr>
          <w:b/>
        </w:rPr>
        <w:t>E. 7.1</w:t>
      </w:r>
    </w:p>
    <w:p>
      <w:r>
        <w:t>Pour pouvoir calculer le degré d'invalidité, l'administration ou le juge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w:t>
      </w:r>
    </w:p>
    <w:p>
      <w:r>
        <w:t>A/3942/2024 - 10/16 -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7.3.1</w:t>
      </w:r>
    </w:p>
    <w:p>
      <w:r>
        <w:t>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w:t>
      </w:r>
    </w:p>
    <w:p>
      <w:r>
        <w:t>A/3942/2024 - 11/16 - complémentaire (arrêt du Tribunal fédéral 9C_518/2007 du 14 juillet 2008 consid. 3.2 et les références citées).</w:t>
      </w:r>
    </w:p>
    <w:p>
      <w:r>
        <w:rPr>
          <w:b/>
        </w:rPr>
        <w:t>E. 7.3.2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7.3.3</w:t>
      </w:r>
    </w:p>
    <w:p>
      <w:r>
        <w:t>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du Tribunal fédéral 8C_408/2014 et 8C_429/2014 du 23 mars 2015 consid. 4.2).</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w:t>
      </w:r>
    </w:p>
    <w:p>
      <w:r>
        <w:t>A/3942/2024 - 12/16 - de la Constitution fédérale de la Confédération suisse du 18 avril 1999 (Cst. - RS 101 ; SVR 2001 IV n. 10 p. 28 consid. 4b), la jurisprudence rendue sous l’empire de l’art. 4 aCst. étant toujours valable (ATF 124 V 90 consid. 4b ; 122 V 157 consid. 1d).</w:t>
      </w:r>
    </w:p>
    <w:p>
      <w:r>
        <w:rPr>
          <w:b/>
        </w:rPr>
        <w:t>E. 8.3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9.1</w:t>
      </w:r>
    </w:p>
    <w:p>
      <w:r>
        <w:t>À titre liminaire, il y a lieu de rappeler que pour que le recourant ait droit à une rente ordinaire, il doit compter, lors de la survenance de l'invalidité, trois années au moins de cotisations, dont une au moins en Suisse. L’invalidité survient au moment où l’assuré présente une incapacité de travail d’au moins 40% en moyenne depuis une année sans interruption notable et qu’une fois le délai d’attente écoulé, l’incapacité de gain perdure à 40% au moins. La question qui se pose est, dès lors, celle de savoir quand l’invalidité du recourant est survenue, car c’est à cette date que celui-ci doit compter trois années au moins de cotisations, versées par lui-même ou par son conjoint, étant précisé que des cotisations doivent avoir été payées en Suisse pendant au moins onze mois.</w:t>
      </w:r>
    </w:p>
    <w:p>
      <w:r>
        <w:rPr>
          <w:b/>
        </w:rPr>
        <w:t>E. 9.2</w:t>
      </w:r>
    </w:p>
    <w:p>
      <w:r>
        <w:t>En l’espèce, après renvoi de la cause à l’OAI, ce dernier a mandaté un expert psychiatre chargé de déterminer la capacité de travail de l’assuré avant son arrivée en Suisse. Se fondant sur le rapport d’expertise du Dr G______ du 12 juillet 2024, l’OAI a considéré que le recourant était totalement incapable de travailler depuis au moins 2016. À l’échéance du délai d’attente d’un an, soit le 1er janvier 2017, lors de la</w:t>
      </w:r>
    </w:p>
    <w:p>
      <w:r>
        <w:t>A/3942/2024 - 13/16 - survenance de l’invalidité, le recourant ne pouvait pas justifier d’une année de cotisations en Suisse, de sorte que les conditions d’assurance n’étaient pas remplies. Le recourant, quant à lui, se fonde sur les rapports de son médecin traitant et les pièces des autorités espagnoles pour alléguer qu’il bénéficiait d’une capacité de travail au moins partielle lors de son arrivée en Suisse. Il sied de préciser que lesdites pièces médicales ont déjà été examinées par la chambre de céans dans le cadre de la procédure ayant abouti à son arrêt du 21 décembre 2023. Or, c’est précisément parce que la chambre de céans n’a pas été convaincue de la valeur probante desdites pièces qu’elle a renvoyé la cause à l’OAI afin que ce dernier mette en œuvre une instruction complémentaire visant à déterminer à quel moment l’assuré s’est retrouvé en incapacité totale de travailler. Suite à l’instruction complémentaire à laquelle l’OAI a procédé, la capacité de travail du recourant a été jugée nulle dès 2016 par l’expert psychiatre. Reste à examiner si l’on peut accorder une pleine valeur probante au rapport d’expertise de ce dernier. Il sied de préciser que les pièces médicales invoquées par l’assuré ont été examinées par l’expert, qui les a répertoriées et résumées dans son rapport d’expertise. Par conséquent, l’expert a pris connaissance et tenu compte des pièces médicales en question, dans le cadre de son appréciation.</w:t>
      </w:r>
    </w:p>
    <w:p>
      <w:r>
        <w:rPr>
          <w:b/>
        </w:rPr>
        <w:t>E. 9.3</w:t>
      </w:r>
    </w:p>
    <w:p>
      <w:r>
        <w:t>En ce qui concerne le rapport d’expertise psychiatrique, la chambre de céans constate que l’expert a pris connaissance du dossier complet du recourant, étudié et discuté soigneusement les rapports pertinents y figurant, présenté une anamnèse détaillée et fouillée, et retranscrit précisément les informations livrées par le recourant, s’agissant particulièrement des traitements suivis, de ses plaintes et habitudes. Il a argumenté les diagnostics retenus et motivé ses conclusions quant aux limitations fonctionnelles et à la capacité de travail. Le rapport d’expertises remplit donc, a priori, les exigences jurisprudentielles pour se voir reconnaître une pleine valeur probante. Il convient encore d’examiner s’il existe des indices concrets permettant de douter du bien-fondé de ce rapport. Lors des deux entretiens avec l’expert, totalisant 5,5 heures, l’assuré s’est plaint d’un trouble bipolaire évoluant depuis 2000, avec des rechutes régulières après des rémissions partielles. Il a relaté un épisode dépressif en 2014 et une hospitalisation en 2016, en Espagne, pour un épisode maniaque avec symptômes psychotiques et un état dépressif sévère en 2018 et 2019, ainsi que d’autres épisodes quasi chaque année. Il a décrit ses difficultés de concentration, de mémoire, avec des phases hautes et basses depuis 2000, persistantes malgré le traitement pharmacologique et le suivi psychiatrique avec quelques moments de</w:t>
      </w:r>
    </w:p>
    <w:p>
      <w:r>
        <w:t>A/3942/2024 - 14/16 - rémissions partielles, mais sans guérison, et a précisé qu’il était difficile de maintenir quoi que ce soit au niveau professionnel car il n’avait jamais pu se former, ni maintenir un travail plus de deux semaines. Il lui était très compliqué de maintenir sa vie de couple et son rôle de père de famille avec sa polarité et il avait besoin de l’aide de sa famille depuis deux décades. Il reconnaissait avoir des doutes sur ses capacités, avoir perdu l’envie, la confiance en soi et décrivait des sentiments de culpabilité et de dévalorisation, précisant qu’il avait de la peine à fonctionner seul dans le quotidien. Dans les phases maniaques, il ne dormait plus puis devenait extrêmement anxieux et agissait de manière inconsidérée avec des symptômes psychotiques ponctuels. Ces éléments, qui proviennent du recourant lui-même, semblent démontrer que ce dernier est non seulement incapable de travailler en raison de ses troubles bipolaires, mais que ces derniers compliquent également sa vie familiale. En dehors de périodes de rémission, il déclare n’avoir jamais pu se former ni maintenir un travail plus de deux semaines, étant, de surcroît, sujet à des symptômes psychotiques ponctuels (rapport d’expertise, p. 17). Invité à décrire une journée type, l’assuré a exposé qu’il amenait ses enfants à l’école le matin et allait les chercher en fin de journée ; il s’occupait des tâches ménagères, comme il le pouvait, avant d’aller se reposer, ajoutant qu’il ne faisait parfois rien de sa journée, en fonction de ses décompensations (rapport d’expertise, p. 25). Questionné sur le plan professionnel, l’assuré a confirmé qu’il ne voyait pas ce qu’il pourrait faire car il utilisait son énergie pour s’occuper de ses enfants, ce qui était sa priorité mais était éventuellement intéressé par une activité proposée par l’OAI pour voir s’il arriverait à la « tenir ». Le besoin premier étant surtout financier, par rapport à sa famille. Amené à se prononcer sur le moment où l’incapacité totale de travail s’est déclarée, l’expert a estimé que les limitations étaient sévères depuis au moins 2016 jusqu’à présent et les rémissions toujours partielles malgré un traitement adéquat. Le trouble était clairement incapacitant avant l’arrivée du recourant en Suisse dès lors que, selon ses propres termes, celui-ci n’aurait pu travailler en Suisse que « pendant deux semaines » entre 2018 et 2020 en Suisse, dans le nettoyage, (rapport d’expertise, p. 23 et p. 36). Se fondant sur l’anamnèse et la journée type, l’expert considère que les troubles psychiatriques étaient enkystées déjà avant 2016 (rapport d’expertise p. 37). L’hospitalisation pendant deux semaines en Espagne, en décembre 2016, dans un contexte de rupture de suivi et de traitement pour un épisode maniaque avec symptômes psychotiques est de nature à confirmer la gravité du trouble bipolaire déjà présent en 2016, étant précisé que, même si l’on devait retenir la date du 1er décembre 2016 plutôt que celle du 1er janvier 2016 pour marquer le début de la</w:t>
      </w:r>
    </w:p>
    <w:p>
      <w:r>
        <w:t>A/3942/2024 - 15/16 - période d’un an d’invalidité durable, cela ne changerait rien à l’issue du litige dès lors que ce n’est qu’en avril 2018 que le recourant s’est domicilié à Genève. Il sied de rappeler que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ni les allégations du recourant, ni les pièces médicales auxquelles il se réfère ne mettent en évidence aucune contradiction ou éléments objectifs ignorés par l’expert, qui justifierait de s’écarter de l’appréciation de ce dernier. Partant, la chambre de céans considère que le médecin traitant de l’assuré fait une appréciation différente de celle de l’expert, portant sur le même état clinique, ce qui ne justifie pas de remettre en doute les conclusions de ce dernier. S’agissant de l’appréciation de l’autorité espagnole s’étant prononcée sur le taux d’invalidité de l’assuré, il ne saurait lier l’intimé, ce d’autant moins que l’on ignore complètement sur la base de quels critères et de quelle façon ce taux d’invalidité a été estimé. Quant à la Dre E______, qui a pris en charge l’assuré depuis le 15 avril 2021 elle a notamment conclu, dans un rapport médical du 17 décembre 2021 qu’aucune activité professionnelle n’était exigible du point de vue psychiatrique, appréciation qu’elle a confirmée dans un rapport du 15 juillet 2022 en précisant que la capacité de travail était de 0% « depuis de longue date » (sic). Compte tenu de ce qui précède, la chambre de céans fait sienne l’appréciation de l’expert selon laquelle l’assuré, dès le 1er janvier 2016 ne dispose d’aucune capacité de travail dans toute activité.</w:t>
      </w:r>
    </w:p>
    <w:p>
      <w:r>
        <w:rPr>
          <w:b/>
        </w:rPr>
        <w:t>E. 10.1</w:t>
      </w:r>
    </w:p>
    <w:p>
      <w:r>
        <w:t>Au vu de ce qui précède, la chambre de céans n’a d’autre choix que de rejeter le recours.</w:t>
      </w:r>
    </w:p>
    <w:p>
      <w:r>
        <w:rPr>
          <w:b/>
        </w:rPr>
        <w:t>E. 10.2</w:t>
      </w:r>
    </w:p>
    <w:p>
      <w:r>
        <w:t>Par ailleurs, au vu du sort du recours, il y a lieu de condamner le recourant, qui n’est pas au bénéfice de l’assistance juridique, au paiement d'un émolument de CHF 200.- (art. 69 al. 1bis LAI).</w:t>
      </w:r>
    </w:p>
    <w:p>
      <w:r>
        <w:t>A/3942/2024 - 16/16 -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