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ATAS/353/2022 vom 19. April 2022</w:t>
      </w:r>
    </w:p>
    <w:p>
      <w:r>
        <w:t>GE Cour de justice, 2022-04-19, FR</w:t>
      </w:r>
    </w:p>
    <w:p>
      <w:r>
        <w:rPr>
          <w:b/>
        </w:rPr>
        <w:t xml:space="preserve">Quelle: </w:t>
      </w:r>
      <w:r>
        <w:t>https://mcp.opencaselaw.ch/entscheid/ge_gerichte_ATAS_353_2022</w:t>
      </w:r>
    </w:p>
    <w:p>
      <w:r>
        <w:t>FR: GE_GERICHTE ATAS/353/2022 du 19 avril 2022</w:t>
      </w:r>
    </w:p>
    <w:p>
      <w:r>
        <w:t>IT: GE_GERICHTE ATAS/353/2022 del 19 aprile 2022</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(loi sur les prestations complémentaires, LPC - RS 831.30) et la loi cantonale sur les prestations cantonales complémentaires du 25 octobre 1968 (LPCC - J 4 25). Sa compétence pour juger du cas d’espèce est ainsi établie.</w:t>
      </w:r>
    </w:p>
    <w:p>
      <w:r>
        <w:rPr>
          <w:b/>
        </w:rPr>
        <w:t>E. 1.2</w:t>
      </w:r>
    </w:p>
    <w:p>
      <w:r>
        <w:t>Le 1er janvier 2021 est entrée en vigueur la modification du 21 juin 2019 de la LPGA.</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la question de savoir si la recourante peut bénéficier d’une remise de l’obligation de restituer la somme de CHF 1'944.00.</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2.2</w:t>
      </w:r>
    </w:p>
    <w:p>
      <w:r>
        <w:t>L’art. 24 LPCC prévoit également que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w:t>
      </w:r>
    </w:p>
    <w:p>
      <w:r>
        <w:t>A/3940/2021 - 6/11 - prestations allouées indûment, mais reçues de bonne foi, ne peut être exigée si l’intéressé se trouve dans une situation difficile.</w:t>
      </w:r>
    </w:p>
    <w:p>
      <w:r>
        <w:rPr>
          <w:b/>
        </w:rPr>
        <w:t>E. 3</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4</w:t>
      </w:r>
    </w:p>
    <w:p>
      <w:r>
        <w:t>La question de 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w:t>
      </w:r>
    </w:p>
    <w:p>
      <w:r>
        <w:t>A/3940/2021 - 7/11 -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w:t>
      </w:r>
    </w:p>
    <w:p>
      <w:r>
        <w:t>A/3940/2021 - 9/11 -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convient d’admettre la bonne foi de la recourante jusqu’au mois de novembre 2020 sur la base de la jurisprudence fédérale mentionnées ci-dessus (consid. 6.2). Avant d’être avisée par décision du 5 novembre 2020 de l’augmentation de la bourse de son fils de CHF 4'635.00 (prise en compte rétroactivement par le SPC à hauteur de CHF 2'635.00 dès le mois de septembre 2019) à CHF 7'228.00, la recourante ignorait cette information et ne pouvait, partant, pas la communiquer à l’intimé.</w:t>
      </w:r>
    </w:p>
    <w:p>
      <w:r>
        <w:rPr>
          <w:b/>
        </w:rPr>
        <w:t>E. 9</w:t>
      </w:r>
    </w:p>
    <w:p>
      <w:r>
        <w:t>S’agissant de la situation financière difficile, l’intimé ne s’est pas prononcé sur cette question, de sorte que la cause lui sera renvoyée pour qu’il se détermine et rende une nouvelle décision quant aux prestations du 1er septembre 2020 au mois de novembre 2020 inclus.</w:t>
      </w:r>
    </w:p>
    <w:p>
      <w:r>
        <w:rPr>
          <w:b/>
        </w:rPr>
        <w:t>E. 10</w:t>
      </w:r>
    </w:p>
    <w:p>
      <w:r>
        <w:t>Une fois informée de l’augmentation de la bourse de son fils, la recourante ne pouvait plus ignorer qu’une telle augmentation mensuelle allait se répercuter sur les droits aux prestations complémentaires familiales, lesquelles allaient être réduites en conséquence (ci-dessus, en fait, B.r et B.v ; CHF 1'408.00 par mois au lieu de CHF 1'624.00). Sa bonne foi doit dès lors être niée au-delà du mois de novembre 2020, dans la mesure où la recourante avait connaissance du montant de la nouvelle bourse annuelle à prendre en considération et a reçu un premier versement de cette bourse peu après avoir été informée de son montant en novembre 2020. Les années précédentes, elle avait déjà pu constater que le montant de la bourse modifiait le calcul de ses droits et elle savait que l’intimé avait besoin du justificatif chaque année pour adapter les calculs des droits. L’année précédente, bien qu’elle avait reçu la réponse au sujet de la bourse en janvier, la recourante l’avait transmise à l’intimé en février, ce qui avait amené ce dernier à revoir le calcul des prestations. S’agissant de l’année 2020, alors qu’elle avait reçu la moitié de la bourse et la décision y relative en novembre 2020, la recourante ne les a pas communiquées. En effet, le dossier ne comporte pas de pièce qui aurait été transmise à l’intimé par la recourante ou un tiers avant le courrier du 17 mai 2021 au sujet de cette bourse. L’on ne peut pas considérer comme établi que la recourante aurait déjà transmis le courrier du 5 novembre 2020 faute de preuve au dossier. Il apparaît d’ailleurs que l’intimé doit régulièrement exiger des pièces complémentaires et adresse parfois des rappels à la recourante à</w:t>
      </w:r>
    </w:p>
    <w:p>
      <w:r>
        <w:t>A/3940/2021 - 10/11 - cette fin. La recourante doit dès lors se laisser opposer le fait qu’elle n’a pas spontanément informé l’intimé de l’augmentation de la bourse de son fils et qu’elle a attendu une demande de l’intimé en avril 2021 et un rappel en mai 2021 pour fournir ces informations qu’elle savait devoir communiquer spontanément. Compte tenu de l’augmentation du montant alloué à titre de bourse, cette omission est constitutive d’une violation grave de l’obligation d’annonce incombant à la recourante. Le fait que de nombreux changements affectent régulièrement la situation de la famille de la recourante et que l’intimé doit régulièrement adapter les plans de calcul n’exonérait d’ailleurs pas la recourante de son obligation de transmettre la décision relative à la bourse sans délai. Le fait que la recourante a d’elle-même proposé à l’intimé, en dehors de la procédure qui nous occupe, de conserver un montant qui lui était dû pour compenser une autre dette envers l’intimé ne permet pas de retenir sa bonne foi, les deux situations n’étant pas liées entre elles. L’on constate par ailleurs à teneur du dossier que la recourante fait en sorte, de manière générale, d’informer l’intimé des nombreux changements dans sa situation personnelle et que cela est souvent à son avantage puisque l’intimé modifie ses droits en conséquence et augmente les prestations chaque fois que l’époux de la recourante se retrouve sans emploi ou en incapacité de travail. Compte tenu de la violation grave de l’obligation de communiquer au SPC toute information pertinente, la remise de l’obligation de restituer ne peut être accordée à la recourante pour la période de novembre 2020 à mai 2021. La décision attaquée sera confirmée sur ce point. Au vu de ce qui précède, le recours sera partiellement admis et la décision attaquée sera annulée pour ce qui est de la période du 1er septembre au 30 novembre 2020, la bonne foi de la recourante étant admise pour cette période. Il conviendra encore que l’intimé se prononce sur la situation financière difficile. Pour le surplus, la procédure est gratuite (art. 61 let. fbis a contrario LPGA).</w:t>
      </w:r>
    </w:p>
    <w:p>
      <w:r>
        <w:t>A/3940/2021 - 11/11 -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