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ATAS/353/2016 vom 3. Mai 2016</w:t>
      </w:r>
    </w:p>
    <w:p>
      <w:r>
        <w:t>GE Cour de justice, 2016-05-03, FR</w:t>
      </w:r>
    </w:p>
    <w:p>
      <w:r>
        <w:rPr>
          <w:b/>
        </w:rPr>
        <w:t xml:space="preserve">Quelle: </w:t>
      </w:r>
      <w:r>
        <w:t>https://mcp.opencaselaw.ch/entscheid/ge_gerichte_ATAS_353_2016</w:t>
      </w:r>
    </w:p>
    <w:p>
      <w:r>
        <w:t>FR: GE_GERICHTE ATAS/353/2016 du 3 mai 2016</w:t>
      </w:r>
    </w:p>
    <w:p>
      <w:r>
        <w:t>IT: GE_GERICHTE ATAS/353/2016 del 3 maggio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L’assuré a déposé un recours pour déni de justice à l’encontre de l’assureur.</w:t>
      </w:r>
    </w:p>
    <w:p>
      <w:r>
        <w:rPr>
          <w:b/>
        </w:rPr>
        <w:t>E. 3</w:t>
      </w:r>
    </w:p>
    <w:p>
      <w:r>
        <w:t>Conformément à l’art. 56 al. 2 LPGA, un recours peut en effet également être formé lorsque l'assureur, malgré la demande de l'intéressé, ne rend pas de décision ou de décision sur opposition.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w:t>
      </w:r>
    </w:p>
    <w:p>
      <w:r>
        <w:t>A/578/2016 - 7/9 - qu’elle ait agi avec retard (arrêt du Tribunal fédéral des assurances C 53/01 du 30 avril 2001 consid. 2 ; arrêt du Tribunal fédéral des assurances I 819/02 du 23 avril 2003 consid. 2.1 ; ATF 124 V 133 ; 117 Ia 117 consid. 3a ; 197 consid. 1c ;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(arrêt du Tribunal fédéral des assurances H 134/02 du 30 janvier 2003 consid. 1.5 ; ATF 122 IV 111 consid. I/4). Pour le surplus, l'autorité saisie d'un recours pour retard injustifié ne saurait se substituer à l'autorité précédente pour statuer au fond. Elle ne peut qu'inviter l'autorité concernée à statuer à bref délai (ATF 130 V 90).</w:t>
      </w:r>
    </w:p>
    <w:p>
      <w:r>
        <w:rPr>
          <w:b/>
        </w:rPr>
        <w:t>E. 4</w:t>
      </w:r>
    </w:p>
    <w:p>
      <w:r>
        <w:t>En l’espèce, l’assureur a, par décision sur opposition du 6 mars 2012, mis fin à ses prestations au 30 septembre 2011. Cette décision a été confirmée par la Chambre de céans dans un arrêt du 4 décembre 2012, entré en force. Par décision du 6 février 2015, l’OAI a, quant à lui, reconnu le droit de l’assuré, notamment, à une rente entière au-delà du 30 septembre 2011 jusqu’au 31 décembre 2011, et à une demi-rente dès le 1er janvier 2012. Aussi, par courrier du 16 mars 2015, se référant expressément à la décision rendue par l’OAI, l’assuré a-t-il sollicité les prestations LAA auxquelles il estimait avoir droit. Il y a lieu de constater que l’assureur lui a répondu par courriers des 2 avril et 20 mai 2015. Le 15 février 2016, il a motivé plus complètement sa position. Il n’a toutefois pas rendu de décision formelle, alors que l’assuré le lui a expressément demandé, ce à trois reprises, soit les 23 septembre et 27 octobre 2015, puis le 1er février 2016. Force est de conclure que l’assureur n’a en l’état notifié ni décision à laquelle l’assuré pourrait s’opposer, ni décision sur opposition contre laquelle il pourrait recourir, de sorte qu’il a commis un déni de justice. Le recours est en conséquence admis. Aussi la Chambre de céans invite-t-elle l’assureur à faire diligence et à statuer dans les plus brefs délais.</w:t>
      </w:r>
    </w:p>
    <w:p>
      <w:r>
        <w:rPr>
          <w:b/>
        </w:rPr>
        <w:t>E. 5</w:t>
      </w:r>
    </w:p>
    <w:p>
      <w:r>
        <w:t>Reste à préciser que la Chambre de céans ne saurait entrer en matière dans le cadre du présent litige sur le bien-fondé ou non de la position de l’assureur telle que celui-ci l’a développée dans son courrier du 22 février 2016 et dans sa réponse au recours.</w:t>
      </w:r>
    </w:p>
    <w:p>
      <w:r>
        <w:t>A/578/2016 - 8/9 -</w:t>
      </w:r>
    </w:p>
    <w:p>
      <w:r>
        <w:rPr>
          <w:b/>
        </w:rPr>
        <w:t>E. 6</w:t>
      </w:r>
    </w:p>
    <w:p>
      <w:r>
        <w:t>L’assuré, qui obtient gain de cause, a droit à une indemnité à titre de participation à ses frais et dépens, que la Chambre de céans fixe en l’occurrence à CHF 1'500.- (art. 61 let. g LPGA ; art. 89H al. 3 de la loi sur la procédure administrative du 12 septembre 1985 - LPA ; RS E 5 10 ; art. 6 du règlement sur les frais, émoluments et indemnités en procédure administrative du 30 juillet 1986 - RFPA ; RS E 5 10.03).</w:t>
      </w:r>
    </w:p>
    <w:p>
      <w:r>
        <w:t>A/578/2016 - 9/9 -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