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ATAS/353/2015 vom 12. Mai 2015</w:t>
      </w:r>
    </w:p>
    <w:p>
      <w:r>
        <w:t>GE Cour de justice, 2015-05-12, FR</w:t>
      </w:r>
    </w:p>
    <w:p>
      <w:r>
        <w:rPr>
          <w:b/>
        </w:rPr>
        <w:t xml:space="preserve">Quelle: </w:t>
      </w:r>
      <w:r>
        <w:t>https://mcp.opencaselaw.ch/entscheid/ge_gerichte_ATAS_353_2015</w:t>
      </w:r>
    </w:p>
    <w:p>
      <w:r>
        <w:t>FR: GE_GERICHTE ATAS/353/2015 du 12 mai 2015</w:t>
      </w:r>
    </w:p>
    <w:p>
      <w:r>
        <w:t>IT: GE_GERICHTE ATAS/353/2015 del 12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A/55/2015 - 5/12 -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l’assurée à une rente d’invalidité ou à des mesures de réadaptation professionnelle.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I.786/04 du 19 janvier 2006 consid. 3.1).</w:t>
      </w:r>
    </w:p>
    <w:p>
      <w:r>
        <w:rPr>
          <w:b/>
        </w:rPr>
        <w:t>E. 8</w:t>
      </w:r>
    </w:p>
    <w:p>
      <w:r>
        <w:t>En vertu de l'art. 28 al. 2 LAI, l'assuré a droit à une rente entière s'il est invalide à 70% au moins, à un trois-quart de rente s'il est invalide à 60% au moins, à une demi-rente s'il est invalide à 50% au moins, ou à un quart de rente s'il est invalide à 40% au moins (art. 28 al. 2 LAI).</w:t>
      </w:r>
    </w:p>
    <w:p>
      <w:r>
        <w:rPr>
          <w:b/>
        </w:rPr>
        <w:t>E. 9</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A/55/2015 - 6/12 - entraîne une incapacité de travail ayant des effets sur la capacité de gain de l’assuré (arrêt du Tribunal fédéral des assurances I.654/00 du 9 avril 2001 consid. 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13</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A/55/2015 - 7/12 -</w:t>
      </w:r>
    </w:p>
    <w:p>
      <w:r>
        <w:rPr>
          <w:b/>
        </w:rPr>
        <w:t>E. 14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15</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En l’espèce, un rapport d’expertise a été établi par le CEMED, sur mandat de l’OAI, le 3 mars 2014.</w:t>
      </w:r>
    </w:p>
    <w:p>
      <w:r>
        <w:t>A/55/2015 - 8/12 - Il convient en premier lieu d’examiner quelle valeur probante peut lui être reconnue. Ce rapport d'expertise a été établi en pleine connaissance du dossier et se fonde sur des examens cliniques de l'assurée, les experts se sont livrés à une anamnèse précise, ont tenu compte des plaintes de l'assurée et ont procédé à des investigations poussées. Leurs conclusions, motivées et convaincantes, ne laissent pas apparaître de contradiction. Il y a donc lieu de considérer que cette expertise a pleine valeur probante.</w:t>
      </w:r>
    </w:p>
    <w:p>
      <w:r>
        <w:rPr>
          <w:b/>
        </w:rPr>
        <w:t>E. 19</w:t>
      </w:r>
    </w:p>
    <w:p>
      <w:r>
        <w:t>Reste à examiner si les rapports des médecins traitants permettraient de s’écarter des conclusions de l’expertise. Tel n’est pas le cas. Il y a en effet lieu de constater que tant les experts que les médecins traitants ont retenu le même diagnostic sur le plan somatique. Il n’est ainsi pas contesté que l’assurée souffre de lombalgies chroniques sur spondylarthrose en raison desquelles elle ne peut plus exercer son activité antérieure. Ils ont également posé le même diagnostic de trouble dépressif récurrent, le Dr F______ considérant toutefois qu’il s’agit d’un trouble moyen, alors que l’expert psychiatre le qualifie de léger. Force est de relever que le Dr F______ se borne à insister sur le fait que c’est la situation socio-économique et familiale qui plonge l’assurée dans une dépression récurrente. Or,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Par ailleurs, l’expert a constaté que la poursuite de la psychothérapie et de la prise d’antidépresseurs était exigible et que l’assurée était compliante. Il a souligné le maintien d’un bon fonctionnement quotidien, même s’il existe des difficultés sociales (elle s’occupe de son fils schizophrène). Il a considéré que l’assurée avait</w:t>
      </w:r>
    </w:p>
    <w:p>
      <w:r>
        <w:t>A/55/2015 - 9/12 - de bonnes capacités d’adaptation, et que l’intensité de la thymie dépressive était modérée. Aussi ne peut-on suivre l’estimation du médecin traitant selon laquelle la capacité de travail sur le plan psychiatrique est nulle, alors que selon l’expert psychiatre, elle est entière. Il n’y a pas de raison de s’écarter de l’expertise, dans la mesure où aucun indice concret ne permet de douter du bien fondé de ses conclusions. Le médecin traitant ne fait en réalité que substituer sa propre appréciation à celle de l’expert. Les experts ont expressément écarté le diagnostic de trouble somatoforme douloureux, diagnostic qui avait été envisagé par le médecin du SMR, mais dont les médecins traitants ne font pas état. Il se justifie dès lors de suivre également cette conclusion. Enfin, les conclusions de l’expert rejoignent celles du médecin de l’OCE.</w:t>
      </w:r>
    </w:p>
    <w:p>
      <w:r>
        <w:rPr>
          <w:b/>
        </w:rPr>
        <w:t>E. 20</w:t>
      </w:r>
    </w:p>
    <w:p>
      <w:r>
        <w:t>L’assurée allègue dans son acte de recours, que depuis l’expertise, son état de santé s’est aggravé. Elle déclare à cet égard que « les douleurs sont beaucoup plus fortes et insupportables ». Il sied de rappeler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Or, aucun nouveau document médical n’a été produit. La chambre de céans retiendra dès lors que la capacité de travail de l'assurée sur le plan somatique est nulle dans son activité habituelle, mais totale dans une activité adaptée, soit une activité respectant l’alternance de station assise et debout, une déambulation libre pas trop longue, pas de port de charges au-delà de cinq kilos et pas de mouvement de porte-à-faux, et la capacité de travail sur le plan psychiatrique, entière.</w:t>
      </w:r>
    </w:p>
    <w:p>
      <w:r>
        <w:rPr>
          <w:b/>
        </w:rPr>
        <w:t>E. 21</w:t>
      </w:r>
    </w:p>
    <w:p>
      <w:r>
        <w:t>Reste à déterminer le degré d’invalidité, étant préalablement rappelé que l’OAI a considéré que le statut de l’assurée est celui d’une personne active. La comparaison des revenus s'effectue, en règle ordinaire, en chiffrant aussi exactement que possible les montants de ces deux revenus et en les confrontant l'un</w:t>
      </w:r>
    </w:p>
    <w:p>
      <w:r>
        <w:t>A/55/2015 - 10/12 -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A/55/2015 - 11/12 -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l’occurrence, il y a lieu de se référer aux salaires statistiques ressortant de l’Enquête suisse sur la structure des salaires (ESS), tant pour le revenu sans invalidité que pour le revenu d’invalide. L'OAI s'est ainsi fondé, à juste titre sur un revenu annuel brut réactualisé de CHF 54'139.- et un revenu annuel brut avec invalidité de CHF 48'725.-, en prenant en considération une réduction supplémentaire de 10% vu les limitations fonctionnelles de l'assurée. En l’espèce, le degré d’invalidité s'élève ainsi à 10%, ce qui est insuffisant pour ouvrir le droit à une rente d’invalidité (art. 28 al. 2 LAI).</w:t>
      </w:r>
    </w:p>
    <w:p>
      <w:r>
        <w:rPr>
          <w:b/>
        </w:rPr>
        <w:t>E. 22</w:t>
      </w:r>
    </w:p>
    <w:p>
      <w:r>
        <w:t>Au vu de ce qui précède, le recours ne peut être que rejeté. La chambre de céans attire toutefois l’attention de l’assurée sur le fait qu’elle garde la possibilité de déposer une nouvelle demande de prestations auprès de l’OAI en cas d'aggravation de son état de santé.</w:t>
      </w:r>
    </w:p>
    <w:p>
      <w:r>
        <w:t>A/55/2015 - 12/12 -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