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ATAS/353/2011 vom 5. April 2011</w:t>
      </w:r>
    </w:p>
    <w:p>
      <w:r>
        <w:t>GE Cour de justice, 2011-04-05, FR</w:t>
      </w:r>
    </w:p>
    <w:p>
      <w:r>
        <w:rPr>
          <w:b/>
        </w:rPr>
        <w:t xml:space="preserve">Quelle: </w:t>
      </w:r>
      <w:r>
        <w:t>https://mcp.opencaselaw.ch/entscheid/ge_gerichte_ATAS_353_2011</w:t>
      </w:r>
    </w:p>
    <w:p>
      <w:r>
        <w:t>FR: GE_GERICHTE ATAS/353/2011 du 5 avril 2011</w:t>
      </w:r>
    </w:p>
    <w:p>
      <w:r>
        <w:t>IT: GE_GERICHTE ATAS/353/2011 del 5 aprile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5 de la loi sur l'organisation judiciaire, du 26 septembre 2010 (LOJ; RS E 2 05) en vigueur dès le 1er janvier 2011, la Chambre des assurances sociales de la Cour de justice connaît en instance unique des contestations prévues à l’art. 56 de la loi fédérale sur la partie générale du droit des assurances sociales, du 6 octobre 2000 (LPGA; RS 830.1) relatives à la loi fédérale sur l'assurance-accidents, du 20 mars 1981 (LAA; RS 832.20). Sa compétence pour juger du cas d’espèce est ainsi établie.</w:t>
      </w:r>
    </w:p>
    <w:p>
      <w:r>
        <w:rPr>
          <w:b/>
        </w:rPr>
        <w:t>E. 2</w:t>
      </w:r>
    </w:p>
    <w:p>
      <w:r>
        <w:t>Aux termes de l’art. 14 de la loi sur la procédure administrative, du 12 septembre 1985 (LPA; RS E 5 10), la procédure peut être suspendue lorsque son sort dépend de la solution d’une question de nature civile, pénale ou administrative pendante devant une autre autorité, jusqu’à droit connu sur ces questions. A fortiori la suspension est-elle possible lorsque deux causes sont pendantes devant la même juridiction.</w:t>
      </w:r>
    </w:p>
    <w:p>
      <w:r>
        <w:t>A/256/2011 - 3/3 -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