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ATAS/353/2010 vom 29. März 2010</w:t>
      </w:r>
    </w:p>
    <w:p>
      <w:r>
        <w:t>GE Cour de justice, 2010-03-29, FR</w:t>
      </w:r>
    </w:p>
    <w:p>
      <w:r>
        <w:rPr>
          <w:b/>
        </w:rPr>
        <w:t xml:space="preserve">Quelle: </w:t>
      </w:r>
      <w:r>
        <w:t>https://mcp.opencaselaw.ch/entscheid/ge_gerichte_ATAS_353_2010</w:t>
      </w:r>
    </w:p>
    <w:p>
      <w:r>
        <w:t>FR: GE_GERICHTE ATAS/353/2010 du 29 mars 2010</w:t>
      </w:r>
    </w:p>
    <w:p>
      <w:r>
        <w:t>IT: GE_GERICHTE ATAS/353/2010 del 29 marzo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Interjeté dans le délai légal et la forme prescrite, auprès du Tribunal compétent, le recours déposé le 2 décembre 2009, contre la décision sur opposition du 26 octobre 2009, réceptionnée par le recourant le 2 novembre 2009, est recevable à la forme.</w:t>
      </w:r>
    </w:p>
    <w:p>
      <w:r>
        <w:rPr>
          <w:b/>
        </w:rPr>
        <w:t>E. 3</w:t>
      </w:r>
    </w:p>
    <w:p>
      <w:r>
        <w:t>Le litige porte sur le taux de l’atteinte à l’intégrité en relation avec l’accident du 1er juin 2002.</w:t>
      </w:r>
    </w:p>
    <w:p>
      <w:r>
        <w:rPr>
          <w:b/>
        </w:rPr>
        <w:t>E. 4</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w:t>
      </w:r>
    </w:p>
    <w:p>
      <w:r>
        <w:t>A/4311/2009 - 7/12 - l'intégrité (al. 1, 2ème phrase). Le Conseil fédéral édicte des prescriptions détaillées sur le calcul de l'indemnité (al. 2). Cette indemnité sert à compenser un préjudice immatériel (douleurs, souffrances, diminution de la joie de vivre, limitation des jouissances offertes par l'existence etc.) qui perdure au-delà de la phase du traitement médical et dont il y a lieu d'admettre qu'il subsistera la vie durant (ATF 133 V 224, consid. 5.1).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voir aussi ATF 125 II 175 consid. 2d).</w:t>
      </w:r>
    </w:p>
    <w:p>
      <w:r>
        <w:rPr>
          <w:b/>
        </w:rPr>
        <w:t>E. 5</w:t>
      </w:r>
    </w:p>
    <w:p>
      <w:r>
        <w:t>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Par conséquent, il y a lieu d’additionner le pour cent correspondant à chacune de ces atteintes, même de celles qui n’atteignent pas 5 % (ATF 116 V 156 ; RAMA 1988 n°U 48 p. 230 consid. 2). Il sera équitablement tenu compte des aggravations prévisibles de l'atteinte à l'intégrité. Une révision (du droit à l'indemnité) n'est possible qu'en cas exceptionnel, si l'aggravation est importante et n'était pas prévisible (al. 4). De jurisprudence constante, la règle contenue à la première phrase de l’art. 36 al. 4 OLAA ne vise toutefois que les aggravations dont la survenance est vraisemblable et l'importance quantifiable (RAMA 1998 n° U 320 p. 602 consid. 3b).</w:t>
      </w:r>
    </w:p>
    <w:p>
      <w:r>
        <w:t>A/4311/2009 - 8/12 -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 a/cc et 116 V 157consid. 3a).</w:t>
      </w:r>
    </w:p>
    <w:p>
      <w:r>
        <w:rPr>
          <w:b/>
        </w:rPr>
        <w:t>E. 6</w:t>
      </w:r>
    </w:p>
    <w:p>
      <w:r>
        <w:t>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D'après l'art. 43 al. 1 LPGA, l'assureur examine les demandes, prend d'office les mesures d'instruction nécessaires et recueille les renseignements dont il a besoin (principe inquisitoire; voir ATF 125 V 195 consid. 2 et les références).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De plus, sa portée est restreinte par le devoir de l’assuré de collaborer à l'instruction conformément à l’art. 43 al. 3 LPGA (ATF 122 V 158 consid. 1a, ATF 121 V 210 consid. 6c et les références). Celui-ci comprend en particulier l'obligation de l’assuré d'apporter, dans la mesure où cela peut être raisonnablement exigé de lui, les preuves commandées par la nature du litige et des faits invoqués, faute de quoi il risque de devoir supporter les conséquences de l'absence de preuves (ATF 125 V 195 consid. 2).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w:t>
      </w:r>
    </w:p>
    <w:p>
      <w:r>
        <w:t>A/4311/2009 - 9/12 -</w:t>
      </w:r>
    </w:p>
    <w:p>
      <w:r>
        <w:rPr>
          <w:b/>
        </w:rPr>
        <w:t>E. 7</w:t>
      </w:r>
    </w:p>
    <w:p>
      <w:r>
        <w:t>Le recourant allègue que le taux de l’atteinte à l’intégrité a été sous-évalué au motif que l’intimée aurait dû additionner l’atteinte neurologique constatée par le Dr N__________, de 5%, à l’atteinte orthopédique estimée à 10% par le Dr M__________, soit 15% au total. Pour sa part, l’intimée soutient que le recourant présente une seule et unique atteinte à l’intégrité en relation avec la diminution résiduelle de la force musculaire de la cuisse et fesse à droite, qui représente, conformément à la table d’indemnisation n° 2 établie par la SUVA, 5%.</w:t>
      </w:r>
    </w:p>
    <w:p>
      <w:r>
        <w:rPr>
          <w:b/>
        </w:rPr>
        <w:t>E. 8</w:t>
      </w:r>
    </w:p>
    <w:p>
      <w:r>
        <w:t>En l’espèce, il convient d’emblée d’observer que l’estimation de l’atteinte à l’intégrité retenue par l’intimée repose principalement sur l’appréciation effectuée par le Dr N__________, neurologue, dans son rapport au Dr M__________ du 4 mars 2005. Lors de son évaluation, le Dr N__________, qui avait déjà examiné l’assuré en novembre 2002, a observé que l’évolution depuis la précédente évaluation avait été favorable. Il persistait une difficulté pour s’accroupir, pour monter les escaliers, sur des escabeaux ou pour certaines activités sportives. L’examen neurologique montrait une amyotrophie modérée de la cuisse droite, une discrète parésie du quadriceps et encore une légère parésie du moyen fessier, améliorée par rapport à l’examen précédent. L’examen ENMG était normal. S’agissant d’un examen pas extrêmement sensible, il pouvait être normal même en présence d’une discrète parésie. En se référant à la table 2 de la SUVA, il estimait l’atteinte à l’intégrité ainsi observée à 5%. Il y a lieu à cet égard d’observer que l’atteinte dont souffre le recourant n’est pas mentionnée dans l’échelle contenue à l’annexe 3 de l’OLAA qui, s’agissant des troubles aux membres inférieurs, comme en l’espèce, ne prévoit d’indemnisations que pour les cas de perte totale ou partielle d’un membre. C’est donc à juste titre que tant le Dr N__________ que l’intimée se sont fondés sur la table 2 établie par la Division médicale de la SUVA, qui fournit des barèmes plus détaillés s’agissant des différents troubles fonctionnels pouvant affecter les membres inférieurs. Elle prévoit un taux de 10% en cas de paralysie - complète - du nerf fessier. En l’espèce, dans la mesure où l’on est en présence d’une légère parésie du moyen fessier et d’une discrète parésie du quadriceps, l’appréciation du Dr N__________, confirmée par le Dr O__________, médecin-consultant de HOTELA et par le Dr Q__________ (selon la note au dossier d’un collaborateur de LLOYD’S), médecin conseil de l’intimée, n’apparaît pas critiquable. Cette appréciation n’est du reste pas véritablement remise en cause, dès le moment que le recourant ne conteste pas le taux retenu par l’intimée à l’égard de son atteinte neurologique. Il estime toutefois qu’il existerait une atteinte à l’intégrité distincte, d’origine orthopédique, d’un taux de 10%, qui devrait être additionnée à l’atteinte neurologique de 5% mentionnée par le Dr N__________. Cet argument ne trouve aucun fondement dans le dossier et ne résiste pas à l’examen.</w:t>
      </w:r>
    </w:p>
    <w:p>
      <w:r>
        <w:t>A/4311/2009 - 10/12 - En effet, dans ses différents rapports médicaux adressés à l’assureur-accidents, le Dr M__________ a, de manière constante, fait état de la persistance d’une boiterie résiduelle sur faiblesse musculaire des quadriceps et du fessier (cf. rapports LAA des 21 octobre 2002, 6 décembre 2002, 4 mars 2003, 15 mai 2003, 23 octobre 2003,</w:t>
      </w:r>
    </w:p>
    <w:p>
      <w:r>
        <w:rPr>
          <w:b/>
        </w:rPr>
        <w:t>E. 9</w:t>
      </w:r>
    </w:p>
    <w:p>
      <w:r>
        <w:t>Par conséquent, on ne voit pas de motif sérieux de s'écarter de l'estimation du neurologue traitant. Quant au risque de péjoration de la situation, évoqué par le recourant, il n’est étayé par aucune pièce médicale au dossier, le Dr M__________ ayant même fait état d’une bonne évolution trois ans après l’ablation du matériel d’ostéosynthèse.</w:t>
      </w:r>
    </w:p>
    <w:p>
      <w:r>
        <w:rPr>
          <w:b/>
        </w:rPr>
        <w:t>E. 10</w:t>
      </w:r>
    </w:p>
    <w:p>
      <w:r>
        <w:t>S’agissant enfin du montant de l’indemnité, le calcul de l’intimée n’est pas critiquable et n’a du reste pas été contesté par le recourant. Quant aux intérêts</w:t>
      </w:r>
    </w:p>
    <w:p>
      <w:r>
        <w:t>A/4311/2009 - 11/12 - moratoires réclamés dans le recours, à compter du 9 mars 2009, le Tribunal observe que l’intimée, dans sa décision du 3 février 2009, a reconnu au recourant le droit à une indemnité de 5'340 fr. et lui a demandé ses coordonnées bancaires afin de procéder au paiement de ce montant. L’intimée a réitéré son offre de paiement dans la décision sur opposition attaquée et a demandé au recourant de lui fournir les coordonnées bancaires, ce qu’il n’a de toute évidence pas fait. Dans ces conditions, il n’y a pas lieu au versement d’intérêts moratoires, le recourant ne s’étant pas entièrement conformé à son obligation de collaborer (art. 26 al. 2 LPGA).</w:t>
      </w:r>
    </w:p>
    <w:p>
      <w:r>
        <w:rPr>
          <w:b/>
        </w:rPr>
        <w:t>E. 11</w:t>
      </w:r>
    </w:p>
    <w:p>
      <w:r>
        <w:t>En tous points mal fondé, le recours doit être rejeté.</w:t>
      </w:r>
    </w:p>
    <w:p>
      <w:r>
        <w:t>A/4311/2009 - 12/12 -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