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ATAS/352/2010 vom 29. März 2010</w:t>
      </w:r>
    </w:p>
    <w:p>
      <w:r>
        <w:t>GE Cour de justice, 2010-03-29, FR</w:t>
      </w:r>
    </w:p>
    <w:p>
      <w:r>
        <w:rPr>
          <w:b/>
        </w:rPr>
        <w:t xml:space="preserve">Quelle: </w:t>
      </w:r>
      <w:r>
        <w:t>https://mcp.opencaselaw.ch/entscheid/ge_gerichte_ATAS_352_2010</w:t>
      </w:r>
    </w:p>
    <w:p>
      <w:r>
        <w:t>FR: GE_GERICHTE ATAS/352/2010 du 29 mars 2010</w:t>
      </w:r>
    </w:p>
    <w:p>
      <w:r>
        <w:t>IT: GE_GERICHTE ATAS/352/2010 del 29 marzo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bien fondé de la décision du 19 septembre 2009 de suppression de la rente d'invalidité du recourant.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ainsi que, les modifications de la LAI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w:t>
      </w:r>
    </w:p>
    <w:p>
      <w:r>
        <w:t>A/3787/2008 - 12/23 - b) En l'espèce, l'OCAI a communiqué à l'assuré un projet de décision en date du 11 juillet 2008, qui a été confirmé par la décision du 19 septembre 2008, contre laquelle l'assuré a interjeté directement recours devant le Tribunal de céans le 22 octobre 2008. c) Interjeté dans les forme et délai prévus par la loi, devant l'autorité compétente, le recours est en conséquence recevable (art. 56 ss LPGA).</w:t>
      </w:r>
    </w:p>
    <w:p>
      <w:r>
        <w:rPr>
          <w:b/>
        </w:rPr>
        <w:t>E. 3</w:t>
      </w:r>
    </w:p>
    <w:p>
      <w:r>
        <w:t>L'objet du litige porte sur le bien-fondé de la suppression de la rente d'invalidité du recourant, en particulier sur la question de l'amélioration de l'état de santé de ce dernier entre le 14 novembre 2003 et le 19 septembre 2008.</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w:t>
      </w:r>
    </w:p>
    <w:p>
      <w:r>
        <w:rPr>
          <w:b/>
        </w:rPr>
        <w:t>E. 6</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voir également ATF 112 V 371 consid. 2b p. 372 et 387 consid. 1b p. 390). Le point de savoir si un tel</w:t>
      </w:r>
    </w:p>
    <w:p>
      <w:r>
        <w:t>A/3787/2008 - 13/23 -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Dans un ATFA non publié du 13 août 2003, en la cause I 790/01, le Tribunal fédéral des assurances (ci-après le TFA) a jugé que l’office de l’assurance- 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w:t>
      </w:r>
    </w:p>
    <w:p>
      <w:r>
        <w:t>A/3787/2008 - 14/23 -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du 17 janvier 1961 - RAI). Or, s’il apparaît ultérieurement, à la suite d’une nouvelle analyse de la situation, que l’appréciation médicale du cas à l’époque était critiquable, cela ne rend pas pour autant la décision prise sur cette base comme étant manifestement erronée ». c) Selon l'art. 88a RAI,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A/3787/2008 - 15/23 -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A/3787/2008 - 16/23 -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A/3787/2008 - 17/23 -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octobre 2008, le Dr Q__________ a enfin attesté que le tableau du point de vue cognitif était resté stable, sans amélioration, en particulier entre 2003 et 2006 avec une légère aggravation constatée le 26 juin 2008, soit avant que le patient n'apprenne la suppression de sa rente, le 17 mars 2009 que suite au bilan cognitif de 2009 la situation était stable et ne semblait pas devoir évoluer.</w:t>
      </w:r>
    </w:p>
    <w:p>
      <w:r>
        <w:rPr>
          <w:b/>
        </w:rPr>
        <w:t>E. 10</w:t>
      </w:r>
    </w:p>
    <w:p>
      <w:r>
        <w:t>a) Il convient préalablement de constater que l'expertise du Dr U__________ du 23 décembre 2005 avec ses compléments des 3 septembre 2005 et 8 janvier 2010 remplit tous les critères jurisprudentiels pour qu'il lui soit reconnu une pleine valeur probante. En effet, elle reprend les données de la première expertise de 2003, tient compte des rapports et examens médicaux subséquents, relate les plaintes du recourant, se base sur des tests de psychométrie comparables à ceux effectués lors de la première expertise de 2003 et est correctement motivée. Par ailleurs, ce rapport d'expertise, dans les constatations médicales et le diagnostic posé, est confirmé par les médecins-traitants, les Drs N__________ et Q__________, la seule divergence étant l'appréciation des limitations fonctionnelles du recourant sur la capacité de travail de celui-ci, les médecins-</w:t>
      </w:r>
    </w:p>
    <w:p>
      <w:r>
        <w:t>A/3787/2008 - 20/23 - traitants estimant que l'incapacité de travail est toujours de 50 % alors que l'expert la fixe à 30 %. Sur la base de cette expertise du 23 décembre 2005, il convient de constater que le tableau clinique est resté quasiment identique entre 2003 et 2005, que les épisodes dissociatifs et le syndrome anxio-dépressif ont persisté, qu'en plus, les fluctuations d'humeur atteignent le degré de la dysthymie, que le troubles cognitifs sont légers et que la psychopathologie est légère et moins prononcée qu'en 2003. En conclusion, l'expert estime que la capacité de travail du recourant n'est plus de 50 % mais de 70 %. Au vu des constatations médicales de l'expert, il apparaît que l'amélioration relevée résulte principalement et de façon significative de l'aspect psychopathologique, testé par la psychométrie, le tableau clinique étant superposable à celui de 2003. S'agissant en particulier des troubles cognitifs, l'expert a précisé qu'il s'était fondé sur ceux figurant au dossier et qu'il n'en avait pas effectué lui-même, en particulier sur l'examen neuropsychologique du 8 février 2005 expliquant que la symptomatologie était superposable à celle de février 2003. Or, comme il a été rappelé ci-dessus, l'examen du 15 mars 2009 a également confirmé une stabilisation de la symptomatologie cognitive depuis le premier bilan de 2000. Ainsi, il est à constater que la nouvelle appréciation du Dr U__________ quant à la capacité de travail est motivée par une amélioration de la psychopathologie, le tableau cognitif étant resté stable. Or, les limitations fonctionnelles invoquées par l'expert en juillet 2003 pour motiver une incapacité de travail de 50 % relevaient des troubles cognitifs (diminution des capacités d'attention et de concentration et de mémoire entraînant une fatigabilité), l'expert avait d'ailleurs précisé que ces troubles cognitifs ne pouvaient provenir de la symptomatologie dépressive et avait posé un diagnostic de trouble dissociatif, lequel a ensuite été maintenu dans l'expertise de 2005. En conclusion, l'avis du Dr U__________ du 23 décembre 2005 constitue en réalité une nouvelle appréciation de la capacité de travail du recourant fondée sur des limitations fonctionnelles identiques de sorte qu'il pourrait fonder le droit à une reconsidération de la décision initiale d'octroi d'une demi-rente depuis le 1er septembre 2003 mais non pas à une révision de celle-ci en raison d'une amélioration de l'état de santé du recourant, en particulier en raison d'une modification des limitations fonctionnelles influençant la capacité de travail. Il en est de même de l'appréciation du SMR, lequel a estimé le 27 février 2006 qu'en raison de l'amélioration constatée tant sur le plan des troubles dissociatifs que de l'humeur la capacité de travail était entière avec une baisse de rendement de 30 % imputable aux troubles cognitifs. En effet, il convient de relever que s'agissant de l'humeur, contrairement à l'avis du SMR, il ressort de l'expertise du Dr U__________ du 23 décembre 2005 que celle-ci ne s'est pas améliorée dès lors que le patient se plaignait de ruminations d'échec provoquant une humeur morose</w:t>
      </w:r>
    </w:p>
    <w:p>
      <w:r>
        <w:t>A/3787/2008 - 21/23 - depuis quelques mois et que l'expert avait constaté qu'il paraissait un peu plus las ou découragé que précédemment. Par ailleurs, le syndrome anxio-dépressif persistait et tendait même à se chronifier d'une façon telle que le diagnostic de dysthymie pouvait être posé. Il n'y a ainsi pas d'amélioration du trouble de l'humeur. En revanche, la psychométrie démontrait une amélioration des scores pour la dépression et l'anxiété. Le SMR admet cependant que la limitation de la capacité de travail est due aux troubles cognitifs lesquels, comme il a été rappelé ci- dessus, se sont maintenus dans une même mesure depuis les évaluations précédentes. Au demeurant, dans l'avis du 16 septembre 2008, le SMR estime que l'éventuelle aggravation de la dysthymie et des troubles cognitifs est réactionnelle à la décision de suppression de la rente. Or, le projet de décision de suppression de la rente a été rendu par l'intimé le 11 juillet 2008, soit postérieurement à l'aggravation constatée le 26 juin 2008 par le Dr Q__________; la symptomatologie observée par le Dr Q__________ n'est donc pas réactionnelle à la suppression de la rente, même s'il est vrai que la procédure de révision était en cours, celle-ci ayant toutefois été portée à la connaissance du recourant en avril 2005 déjà. En retenant une capacité de travail de 70 %, l'avis du SMR constitue ainsi également une nouvelle appréciation de la capacité de travail du recourant fondée sur des limitations fonctionnelles identiques. b) L'évaluation d'une capacité de travail de 70 % au lieu de 50 % fondée sur des limitations fonctionnelles identiques constitue ainsi une nouvelle appréciation de la part de l'expert et du SMR de la situation du recourant, de sorte qu'on ne saurait considérer que la décision initiale d'octroi d'une demi-rente d'invalidité était manifestement erronée. Au contraire, cette incapacité de travail de 50 %, encore confirmée actuellement par les médecins-traitants du recourant, apparaît totalement admissible, compte tenu des limitations fonctionnelles attestées par l'expert, celui-ci ne l'ayant d'ailleurs que réduite de 20 % dans le cadre de sa nouvelle appréciation. Ainsi, il convient de constater que les conditions d'une reconsidération de la décision initiale d'octroi d'une demi-rente d'invalidité ne sont en l'espèce pas remplies. A cet égard, compte tenu du fait que la reconsidération est écartée dans le présent jugement et que cette question a été évoquée par le recourant déjà dans son mémoire de recours (p. 11) sur lequel l'intimé a pu se prononcer, le droit d'être entendu des parties tel qu'il est garanti par l'art. 29 al. 2 CST, relativement à cette question doit être considéré comme étant respecté (cf. à cet égard ATF du 19 août 2008 9C 340/2008).</w:t>
      </w:r>
    </w:p>
    <w:p>
      <w:r>
        <w:rPr>
          <w:b/>
        </w:rPr>
        <w:t>E. 11</w:t>
      </w:r>
    </w:p>
    <w:p>
      <w:r>
        <w:t>a) Au vu de ce qui précède, il convient de confirmer une incapacité de travail du recourant de 50 % de sorte que la décision de suppression de la demi-rente d'invalidité doit être annulée. Partant, le recours sera admis et la décision litigieuse annulée.</w:t>
      </w:r>
    </w:p>
    <w:p>
      <w:r>
        <w:t>A/3787/2008 - 22/23 -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ainsi mis à la charge de l'OAI qui succombe (art. 69 al. 1bis LAI) ainsi qu'une indemnité de 3'800 fr. en faveur du recourant.</w:t>
      </w:r>
    </w:p>
    <w:p>
      <w:r>
        <w:t>A/3787/2008 - 23/23 -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